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rPr>
      </w:pPr>
      <w:bookmarkStart w:id="0" w:name="_Toc112679996"/>
      <w:bookmarkStart w:id="1" w:name="OLE_LINK4"/>
      <w:bookmarkStart w:id="2" w:name="参考文献"/>
      <w:bookmarkStart w:id="3" w:name="_Toc344475834"/>
      <w:bookmarkStart w:id="4" w:name="现成软件"/>
    </w:p>
    <w:p>
      <w:pPr>
        <w:pStyle w:val="22"/>
        <w:spacing w:before="0" w:after="0" w:line="520" w:lineRule="exact"/>
        <w:rPr>
          <w:rFonts w:hint="eastAsia" w:asciiTheme="minorEastAsia" w:hAnsiTheme="minorEastAsia" w:eastAsiaTheme="minorEastAsia" w:cstheme="minorEastAsia"/>
          <w:b w:val="0"/>
          <w:bCs w:val="0"/>
          <w:sz w:val="44"/>
          <w:szCs w:val="44"/>
        </w:rPr>
      </w:pPr>
      <w:r>
        <w:rPr>
          <w:rFonts w:hint="eastAsia" w:asciiTheme="minorEastAsia" w:hAnsiTheme="minorEastAsia" w:eastAsiaTheme="minorEastAsia" w:cstheme="minorEastAsia"/>
          <w:b w:val="0"/>
          <w:bCs w:val="0"/>
          <w:sz w:val="44"/>
          <w:szCs w:val="44"/>
        </w:rPr>
        <w:t>无创血糖监测产品注册审查指导原则</w:t>
      </w:r>
      <w:bookmarkEnd w:id="0"/>
    </w:p>
    <w:p>
      <w:pPr>
        <w:spacing w:line="520" w:lineRule="exact"/>
        <w:jc w:val="center"/>
        <w:rPr>
          <w:rFonts w:hint="eastAsia" w:asciiTheme="minorEastAsia" w:hAnsiTheme="minorEastAsia" w:eastAsiaTheme="minorEastAsia" w:cstheme="minorEastAsia"/>
          <w:sz w:val="32"/>
          <w:szCs w:val="32"/>
        </w:rPr>
      </w:pPr>
    </w:p>
    <w:bookmarkEnd w:id="1"/>
    <w:p>
      <w:pPr>
        <w:spacing w:line="520" w:lineRule="exact"/>
        <w:ind w:firstLine="640" w:firstLineChars="200"/>
        <w:rPr>
          <w:rFonts w:hint="eastAsia" w:asciiTheme="minorEastAsia" w:hAnsiTheme="minorEastAsia" w:eastAsiaTheme="minorEastAsia" w:cstheme="minorEastAsia"/>
          <w:sz w:val="32"/>
          <w:szCs w:val="32"/>
        </w:rPr>
      </w:pPr>
      <w:bookmarkStart w:id="5" w:name="适用范围"/>
      <w:bookmarkStart w:id="6" w:name="_Toc344475832"/>
      <w:r>
        <w:rPr>
          <w:rFonts w:hint="eastAsia" w:asciiTheme="minorEastAsia" w:hAnsiTheme="minorEastAsia" w:eastAsiaTheme="minorEastAsia" w:cstheme="minorEastAsia"/>
          <w:sz w:val="32"/>
          <w:szCs w:val="32"/>
        </w:rPr>
        <w:t>本指导原则旨在</w:t>
      </w:r>
      <w:r>
        <w:rPr>
          <w:rFonts w:hint="eastAsia" w:asciiTheme="minorEastAsia" w:hAnsiTheme="minorEastAsia" w:eastAsiaTheme="minorEastAsia" w:cstheme="minorEastAsia"/>
          <w:kern w:val="0"/>
          <w:sz w:val="32"/>
          <w:szCs w:val="32"/>
        </w:rPr>
        <w:t>指导申请人对</w:t>
      </w:r>
      <w:r>
        <w:rPr>
          <w:rFonts w:hint="eastAsia" w:asciiTheme="minorEastAsia" w:hAnsiTheme="minorEastAsia" w:eastAsiaTheme="minorEastAsia" w:cstheme="minorEastAsia"/>
          <w:sz w:val="32"/>
          <w:szCs w:val="32"/>
        </w:rPr>
        <w:t>无创血糖监测产品</w:t>
      </w:r>
      <w:r>
        <w:rPr>
          <w:rFonts w:hint="eastAsia" w:asciiTheme="minorEastAsia" w:hAnsiTheme="minorEastAsia" w:eastAsiaTheme="minorEastAsia" w:cstheme="minorEastAsia"/>
          <w:kern w:val="0"/>
          <w:sz w:val="32"/>
          <w:szCs w:val="32"/>
        </w:rPr>
        <w:t>注册申报资料的准备及撰写</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kern w:val="0"/>
          <w:sz w:val="32"/>
          <w:szCs w:val="32"/>
        </w:rPr>
        <w:t>同时也为技术审评部门审评注册申报资料提供参考。</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本指导原则是对无创血糖监测产品的一般性要求，申请人应依据其具体特性</w:t>
      </w:r>
      <w:r>
        <w:rPr>
          <w:rFonts w:hint="eastAsia" w:asciiTheme="minorEastAsia" w:hAnsiTheme="minorEastAsia" w:eastAsiaTheme="minorEastAsia" w:cstheme="minorEastAsia"/>
          <w:kern w:val="0"/>
          <w:sz w:val="32"/>
          <w:szCs w:val="32"/>
        </w:rPr>
        <w:t>确定其中内容是否适用</w:t>
      </w:r>
      <w:r>
        <w:rPr>
          <w:rFonts w:hint="eastAsia" w:asciiTheme="minorEastAsia" w:hAnsiTheme="minorEastAsia" w:eastAsiaTheme="minorEastAsia" w:cstheme="minorEastAsia"/>
          <w:sz w:val="32"/>
          <w:szCs w:val="32"/>
        </w:rPr>
        <w:t>，若不适用，需具体阐述理由及相应的科学依据</w:t>
      </w:r>
      <w:r>
        <w:rPr>
          <w:rFonts w:hint="eastAsia" w:asciiTheme="minorEastAsia" w:hAnsiTheme="minorEastAsia" w:eastAsiaTheme="minorEastAsia" w:cstheme="minorEastAsia"/>
          <w:kern w:val="0"/>
          <w:sz w:val="32"/>
          <w:szCs w:val="32"/>
        </w:rPr>
        <w:t>，并依据其具体特性对注册申报资料的内容进行充实和细化。</w:t>
      </w:r>
    </w:p>
    <w:p>
      <w:pPr>
        <w:spacing w:line="52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本指导原则是在现行法规、标准体系及当前认知水平下制定的，随着法规、标准体系的不断完善和科学技术的不断发展，本指导原则相关内容也将适时进行调整。</w:t>
      </w:r>
    </w:p>
    <w:p>
      <w:pPr>
        <w:numPr>
          <w:ilvl w:val="0"/>
          <w:numId w:val="1"/>
        </w:numPr>
        <w:spacing w:line="520" w:lineRule="exact"/>
        <w:ind w:left="0" w:firstLine="640" w:firstLineChars="200"/>
        <w:outlineLvl w:val="0"/>
        <w:rPr>
          <w:rFonts w:hint="eastAsia" w:asciiTheme="minorEastAsia" w:hAnsiTheme="minorEastAsia" w:eastAsiaTheme="minorEastAsia" w:cstheme="minorEastAsia"/>
          <w:b/>
          <w:sz w:val="32"/>
          <w:szCs w:val="32"/>
        </w:rPr>
      </w:pPr>
      <w:bookmarkStart w:id="7" w:name="_Toc112680000"/>
      <w:r>
        <w:rPr>
          <w:rFonts w:hint="eastAsia" w:asciiTheme="minorEastAsia" w:hAnsiTheme="minorEastAsia" w:eastAsiaTheme="minorEastAsia" w:cstheme="minorEastAsia"/>
          <w:sz w:val="32"/>
          <w:szCs w:val="32"/>
        </w:rPr>
        <w:t>适用范围</w:t>
      </w:r>
      <w:bookmarkEnd w:id="5"/>
      <w:bookmarkEnd w:id="6"/>
      <w:bookmarkEnd w:id="7"/>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本指导原则适用于预期采用无创方式监测人体血糖的医疗器械设备或系统，对于连续无创血糖监测医疗器械产品也具有一定的参考意义。</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本指导原则对</w:t>
      </w:r>
      <w:r>
        <w:rPr>
          <w:rFonts w:hint="eastAsia" w:asciiTheme="minorEastAsia" w:hAnsiTheme="minorEastAsia" w:eastAsiaTheme="minorEastAsia" w:cstheme="minorEastAsia"/>
          <w:sz w:val="32"/>
          <w:szCs w:val="32"/>
        </w:rPr>
        <w:t>无创血糖监测产品的结构及组成、检测参数、预期用途、预期使用环境等不做限制。无创血糖监测产品既可以是独立设备，例如，无创血糖仪，又可以作为多参数模块集成在设备或系统中，例如，组合血糖仪中的无创模块部分，也可以是穿戴式无创血糖监测的设备或系统，例如，柔性无创血糖传感器。</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本指导原则不适用于有创血糖监测产品，例如，有创血糖仪、组合血糖仪的有创血糖检测模块（含试纸）、有创的持续葡</w:t>
      </w:r>
      <w:r>
        <w:rPr>
          <w:rFonts w:hint="eastAsia" w:asciiTheme="minorEastAsia" w:hAnsiTheme="minorEastAsia" w:eastAsiaTheme="minorEastAsia" w:cstheme="minorEastAsia"/>
          <w:sz w:val="32"/>
          <w:szCs w:val="32"/>
        </w:rPr>
        <w:t>萄糖监测系统(</w:t>
      </w:r>
      <w:r>
        <w:rPr>
          <w:rFonts w:hint="eastAsia" w:asciiTheme="minorEastAsia" w:hAnsiTheme="minorEastAsia" w:eastAsiaTheme="minorEastAsia" w:cstheme="minorEastAsia"/>
          <w:bCs/>
          <w:color w:val="000000"/>
          <w:sz w:val="32"/>
          <w:szCs w:val="32"/>
        </w:rPr>
        <w:t>Continuous Glucose Monitoring, CGM</w:t>
      </w:r>
      <w:r>
        <w:rPr>
          <w:rFonts w:hint="eastAsia" w:asciiTheme="minorEastAsia" w:hAnsiTheme="minorEastAsia" w:eastAsiaTheme="minorEastAsia" w:cstheme="minorEastAsia"/>
          <w:sz w:val="32"/>
          <w:szCs w:val="32"/>
        </w:rPr>
        <w:t>)等。</w:t>
      </w:r>
    </w:p>
    <w:p>
      <w:pPr>
        <w:numPr>
          <w:ilvl w:val="0"/>
          <w:numId w:val="1"/>
        </w:numPr>
        <w:spacing w:line="520" w:lineRule="exact"/>
        <w:ind w:left="0" w:firstLine="640" w:firstLineChars="200"/>
        <w:outlineLvl w:val="0"/>
        <w:rPr>
          <w:rFonts w:hint="eastAsia" w:asciiTheme="minorEastAsia" w:hAnsiTheme="minorEastAsia" w:eastAsiaTheme="minorEastAsia" w:cstheme="minorEastAsia"/>
          <w:sz w:val="32"/>
          <w:szCs w:val="32"/>
        </w:rPr>
      </w:pPr>
      <w:bookmarkStart w:id="8" w:name="_Ref111494522"/>
      <w:bookmarkStart w:id="9" w:name="_Toc112680001"/>
      <w:r>
        <w:rPr>
          <w:rFonts w:hint="eastAsia" w:asciiTheme="minorEastAsia" w:hAnsiTheme="minorEastAsia" w:eastAsiaTheme="minorEastAsia" w:cstheme="minorEastAsia"/>
          <w:sz w:val="32"/>
          <w:szCs w:val="32"/>
        </w:rPr>
        <w:t>注册审查要点</w:t>
      </w:r>
      <w:bookmarkEnd w:id="8"/>
      <w:bookmarkEnd w:id="9"/>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参考《医疗器械安全和性能的基本原则》，申请人应明确基本的设计和生产要求，应能设计和生产在医疗器械全生命周期内均能达到预期安全和性能要求的无创血糖监测产品。</w:t>
      </w:r>
    </w:p>
    <w:p>
      <w:pPr>
        <w:widowControl/>
        <w:numPr>
          <w:ilvl w:val="0"/>
          <w:numId w:val="2"/>
        </w:numPr>
        <w:spacing w:line="520" w:lineRule="exact"/>
        <w:ind w:left="0" w:firstLine="640" w:firstLineChars="200"/>
        <w:outlineLvl w:val="1"/>
        <w:rPr>
          <w:rFonts w:hint="eastAsia" w:asciiTheme="minorEastAsia" w:hAnsiTheme="minorEastAsia" w:eastAsiaTheme="minorEastAsia" w:cstheme="minorEastAsia"/>
          <w:bCs/>
          <w:color w:val="000000"/>
          <w:sz w:val="32"/>
          <w:szCs w:val="32"/>
        </w:rPr>
      </w:pPr>
      <w:bookmarkStart w:id="10" w:name="_Toc112680002"/>
      <w:r>
        <w:rPr>
          <w:rFonts w:hint="eastAsia" w:asciiTheme="minorEastAsia" w:hAnsiTheme="minorEastAsia" w:eastAsiaTheme="minorEastAsia" w:cstheme="minorEastAsia"/>
          <w:bCs/>
          <w:color w:val="000000"/>
          <w:sz w:val="32"/>
          <w:szCs w:val="32"/>
        </w:rPr>
        <w:t>监管信息</w:t>
      </w:r>
      <w:bookmarkEnd w:id="10"/>
    </w:p>
    <w:p>
      <w:pPr>
        <w:numPr>
          <w:ilvl w:val="0"/>
          <w:numId w:val="3"/>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11" w:name="_Toc112680003"/>
      <w:r>
        <w:rPr>
          <w:rFonts w:hint="eastAsia" w:asciiTheme="minorEastAsia" w:hAnsiTheme="minorEastAsia" w:eastAsiaTheme="minorEastAsia" w:cstheme="minorEastAsia"/>
          <w:color w:val="000000"/>
          <w:sz w:val="32"/>
          <w:szCs w:val="32"/>
        </w:rPr>
        <w:t>申请表</w:t>
      </w:r>
      <w:bookmarkEnd w:id="11"/>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w:t>
      </w:r>
      <w:r>
        <w:rPr>
          <w:rFonts w:hint="eastAsia" w:asciiTheme="minorEastAsia" w:hAnsiTheme="minorEastAsia" w:eastAsiaTheme="minorEastAsia" w:cstheme="minorEastAsia"/>
          <w:color w:val="000000"/>
          <w:sz w:val="32"/>
          <w:szCs w:val="32"/>
        </w:rPr>
        <w:t>按照填表要求填写</w:t>
      </w:r>
      <w:r>
        <w:rPr>
          <w:rFonts w:hint="eastAsia" w:asciiTheme="minorEastAsia" w:hAnsiTheme="minorEastAsia" w:eastAsiaTheme="minorEastAsia" w:cstheme="minorEastAsia"/>
          <w:color w:val="000000"/>
          <w:sz w:val="32"/>
          <w:szCs w:val="32"/>
        </w:rPr>
        <w:t>，其中产品名称、结构及组成、产品适用范围应与综述资料、产品说明书的相关内容保持一致</w:t>
      </w:r>
      <w:r>
        <w:rPr>
          <w:rFonts w:hint="eastAsia" w:asciiTheme="minorEastAsia" w:hAnsiTheme="minorEastAsia" w:eastAsiaTheme="minorEastAsia" w:cstheme="minorEastAsia"/>
          <w:color w:val="000000"/>
          <w:sz w:val="32"/>
          <w:szCs w:val="32"/>
        </w:rPr>
        <w:t>。</w:t>
      </w:r>
    </w:p>
    <w:p>
      <w:pPr>
        <w:numPr>
          <w:ilvl w:val="0"/>
          <w:numId w:val="3"/>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12" w:name="_Toc112680004"/>
      <w:r>
        <w:rPr>
          <w:rFonts w:hint="eastAsia" w:asciiTheme="minorEastAsia" w:hAnsiTheme="minorEastAsia" w:eastAsiaTheme="minorEastAsia" w:cstheme="minorEastAsia"/>
          <w:color w:val="000000"/>
          <w:sz w:val="32"/>
          <w:szCs w:val="32"/>
        </w:rPr>
        <w:t>术语、缩写词列表</w:t>
      </w:r>
      <w:bookmarkEnd w:id="12"/>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color w:val="000000"/>
          <w:sz w:val="32"/>
          <w:szCs w:val="32"/>
        </w:rPr>
        <w:t>应当根据注册申报资料的实际情况，对其中出现的需要明确含义的术语或缩写词进行定义。</w:t>
      </w:r>
    </w:p>
    <w:p>
      <w:pPr>
        <w:numPr>
          <w:ilvl w:val="0"/>
          <w:numId w:val="3"/>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13" w:name="_Toc112680005"/>
      <w:r>
        <w:rPr>
          <w:rFonts w:hint="eastAsia" w:asciiTheme="minorEastAsia" w:hAnsiTheme="minorEastAsia" w:eastAsiaTheme="minorEastAsia" w:cstheme="minorEastAsia"/>
          <w:color w:val="000000"/>
          <w:sz w:val="32"/>
          <w:szCs w:val="32"/>
        </w:rPr>
        <w:t>产品列表</w:t>
      </w:r>
      <w:bookmarkEnd w:id="13"/>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color w:val="000000"/>
          <w:sz w:val="32"/>
          <w:szCs w:val="32"/>
        </w:rPr>
        <w:t>应以表格形式列出拟申报产品的型号、规格、结构及组成、附件，以及每个型号规格的标识（如型号或部件的编号，器械唯一标识等）和描述说明（如尺寸、材质等）。</w:t>
      </w:r>
    </w:p>
    <w:p>
      <w:pPr>
        <w:numPr>
          <w:ilvl w:val="0"/>
          <w:numId w:val="3"/>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14" w:name="_Toc432753652"/>
      <w:r>
        <w:rPr>
          <w:rFonts w:hint="eastAsia" w:asciiTheme="minorEastAsia" w:hAnsiTheme="minorEastAsia" w:eastAsiaTheme="minorEastAsia" w:cstheme="minorEastAsia"/>
          <w:color w:val="000000"/>
          <w:sz w:val="32"/>
          <w:szCs w:val="32"/>
        </w:rPr>
        <w:t>注册单元</w:t>
      </w:r>
      <w:bookmarkEnd w:id="14"/>
      <w:r>
        <w:rPr>
          <w:rFonts w:hint="eastAsia" w:asciiTheme="minorEastAsia" w:hAnsiTheme="minorEastAsia" w:eastAsiaTheme="minorEastAsia" w:cstheme="minorEastAsia"/>
          <w:color w:val="000000"/>
          <w:sz w:val="32"/>
          <w:szCs w:val="32"/>
        </w:rPr>
        <w:t>划分</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参考《</w:t>
      </w:r>
      <w:r>
        <w:rPr>
          <w:rFonts w:hint="eastAsia" w:asciiTheme="minorEastAsia" w:hAnsiTheme="minorEastAsia" w:eastAsiaTheme="minorEastAsia" w:cstheme="minorEastAsia"/>
          <w:color w:val="000000"/>
          <w:sz w:val="32"/>
          <w:szCs w:val="32"/>
        </w:rPr>
        <w:t>医疗器械注册单元划分指导原则</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若申报产品存在多个型号规格或配置，</w:t>
      </w:r>
      <w:r>
        <w:rPr>
          <w:rFonts w:hint="eastAsia" w:asciiTheme="minorEastAsia" w:hAnsiTheme="minorEastAsia" w:eastAsiaTheme="minorEastAsia" w:cstheme="minorEastAsia"/>
          <w:color w:val="000000"/>
          <w:sz w:val="32"/>
          <w:szCs w:val="32"/>
        </w:rPr>
        <w:t>应根据</w:t>
      </w:r>
      <w:r>
        <w:rPr>
          <w:rFonts w:hint="eastAsia" w:asciiTheme="minorEastAsia" w:hAnsiTheme="minorEastAsia" w:eastAsiaTheme="minorEastAsia" w:cstheme="minorEastAsia"/>
          <w:color w:val="000000"/>
          <w:sz w:val="32"/>
          <w:szCs w:val="32"/>
        </w:rPr>
        <w:t>无创血糖监测产品</w:t>
      </w:r>
      <w:r>
        <w:rPr>
          <w:rFonts w:hint="eastAsia" w:asciiTheme="minorEastAsia" w:hAnsiTheme="minorEastAsia" w:eastAsiaTheme="minorEastAsia" w:cstheme="minorEastAsia"/>
          <w:color w:val="000000"/>
          <w:sz w:val="32"/>
          <w:szCs w:val="32"/>
        </w:rPr>
        <w:t>的临床机理/</w:t>
      </w:r>
      <w:r>
        <w:rPr>
          <w:rFonts w:hint="eastAsia" w:asciiTheme="minorEastAsia" w:hAnsiTheme="minorEastAsia" w:eastAsiaTheme="minorEastAsia" w:cstheme="minorEastAsia"/>
          <w:color w:val="000000"/>
          <w:sz w:val="32"/>
          <w:szCs w:val="32"/>
        </w:rPr>
        <w:t>技术原理</w:t>
      </w:r>
      <w:r>
        <w:rPr>
          <w:rFonts w:hint="eastAsia" w:asciiTheme="minorEastAsia" w:hAnsiTheme="minorEastAsia" w:eastAsiaTheme="minorEastAsia" w:cstheme="minorEastAsia"/>
          <w:color w:val="000000"/>
          <w:sz w:val="32"/>
          <w:szCs w:val="32"/>
        </w:rPr>
        <w:t>及其特点</w:t>
      </w:r>
      <w:r>
        <w:rPr>
          <w:rFonts w:hint="eastAsia" w:asciiTheme="minorEastAsia" w:hAnsiTheme="minorEastAsia" w:eastAsiaTheme="minorEastAsia" w:cstheme="minorEastAsia"/>
          <w:color w:val="000000"/>
          <w:sz w:val="32"/>
          <w:szCs w:val="32"/>
        </w:rPr>
        <w:t>、结构</w:t>
      </w:r>
      <w:r>
        <w:rPr>
          <w:rFonts w:hint="eastAsia" w:asciiTheme="minorEastAsia" w:hAnsiTheme="minorEastAsia" w:eastAsiaTheme="minorEastAsia" w:cstheme="minorEastAsia"/>
          <w:color w:val="000000"/>
          <w:sz w:val="32"/>
          <w:szCs w:val="32"/>
        </w:rPr>
        <w:t>及</w:t>
      </w:r>
      <w:r>
        <w:rPr>
          <w:rFonts w:hint="eastAsia" w:asciiTheme="minorEastAsia" w:hAnsiTheme="minorEastAsia" w:eastAsiaTheme="minorEastAsia" w:cstheme="minorEastAsia"/>
          <w:color w:val="000000"/>
          <w:sz w:val="32"/>
          <w:szCs w:val="32"/>
        </w:rPr>
        <w:t>组成、性能指标</w:t>
      </w:r>
      <w:r>
        <w:rPr>
          <w:rFonts w:hint="eastAsia" w:asciiTheme="minorEastAsia" w:hAnsiTheme="minorEastAsia" w:eastAsiaTheme="minorEastAsia" w:cstheme="minorEastAsia"/>
          <w:color w:val="000000"/>
          <w:sz w:val="32"/>
          <w:szCs w:val="32"/>
        </w:rPr>
        <w:t>、适用范围</w:t>
      </w:r>
      <w:r>
        <w:rPr>
          <w:rFonts w:hint="eastAsia" w:asciiTheme="minorEastAsia" w:hAnsiTheme="minorEastAsia" w:eastAsiaTheme="minorEastAsia" w:cstheme="minorEastAsia"/>
          <w:color w:val="000000"/>
          <w:sz w:val="32"/>
          <w:szCs w:val="32"/>
        </w:rPr>
        <w:t>等关键要素进行注册单元划分。</w:t>
      </w:r>
    </w:p>
    <w:p>
      <w:pPr>
        <w:numPr>
          <w:ilvl w:val="1"/>
          <w:numId w:val="4"/>
        </w:numPr>
        <w:spacing w:line="520" w:lineRule="exact"/>
        <w:ind w:left="0"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w:t>
      </w:r>
      <w:r>
        <w:rPr>
          <w:rFonts w:hint="eastAsia" w:asciiTheme="minorEastAsia" w:hAnsiTheme="minorEastAsia" w:eastAsiaTheme="minorEastAsia" w:cstheme="minorEastAsia"/>
          <w:color w:val="000000"/>
          <w:sz w:val="32"/>
          <w:szCs w:val="32"/>
        </w:rPr>
        <w:t>的临床机理/</w:t>
      </w:r>
      <w:r>
        <w:rPr>
          <w:rFonts w:hint="eastAsia" w:asciiTheme="minorEastAsia" w:hAnsiTheme="minorEastAsia" w:eastAsiaTheme="minorEastAsia" w:cstheme="minorEastAsia"/>
          <w:color w:val="000000"/>
          <w:sz w:val="32"/>
          <w:szCs w:val="32"/>
        </w:rPr>
        <w:t>技术原理</w:t>
      </w:r>
      <w:r>
        <w:rPr>
          <w:rFonts w:hint="eastAsia" w:asciiTheme="minorEastAsia" w:hAnsiTheme="minorEastAsia" w:eastAsiaTheme="minorEastAsia" w:cstheme="minorEastAsia"/>
          <w:color w:val="000000"/>
          <w:sz w:val="32"/>
          <w:szCs w:val="32"/>
        </w:rPr>
        <w:t>及其特点</w:t>
      </w:r>
      <w:r>
        <w:rPr>
          <w:rFonts w:hint="eastAsia" w:asciiTheme="minorEastAsia" w:hAnsiTheme="minorEastAsia" w:eastAsiaTheme="minorEastAsia" w:cstheme="minorEastAsia"/>
          <w:color w:val="000000"/>
          <w:sz w:val="32"/>
          <w:szCs w:val="32"/>
        </w:rPr>
        <w:t>存在较大差异的情况，</w:t>
      </w:r>
      <w:r>
        <w:rPr>
          <w:rFonts w:hint="eastAsia" w:asciiTheme="minorEastAsia" w:hAnsiTheme="minorEastAsia" w:eastAsiaTheme="minorEastAsia" w:cstheme="minorEastAsia"/>
          <w:color w:val="000000"/>
          <w:sz w:val="32"/>
          <w:szCs w:val="32"/>
        </w:rPr>
        <w:t>应</w:t>
      </w:r>
      <w:r>
        <w:rPr>
          <w:rFonts w:hint="eastAsia" w:asciiTheme="minorEastAsia" w:hAnsiTheme="minorEastAsia" w:eastAsiaTheme="minorEastAsia" w:cstheme="minorEastAsia"/>
          <w:color w:val="000000"/>
          <w:sz w:val="32"/>
          <w:szCs w:val="32"/>
        </w:rPr>
        <w:t>划分为不同的注册单元</w:t>
      </w:r>
      <w:r>
        <w:rPr>
          <w:rFonts w:hint="eastAsia" w:asciiTheme="minorEastAsia" w:hAnsiTheme="minorEastAsia" w:eastAsiaTheme="minorEastAsia" w:cstheme="minorEastAsia"/>
          <w:color w:val="000000"/>
          <w:sz w:val="32"/>
          <w:szCs w:val="32"/>
        </w:rPr>
        <w:t>，详见</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REF _Ref113451223 \h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器械及操作原理描述</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w:t>
      </w:r>
    </w:p>
    <w:p>
      <w:pPr>
        <w:numPr>
          <w:ilvl w:val="1"/>
          <w:numId w:val="4"/>
        </w:numPr>
        <w:spacing w:line="520" w:lineRule="exact"/>
        <w:ind w:left="0"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w:t>
      </w:r>
      <w:r>
        <w:rPr>
          <w:rFonts w:hint="eastAsia" w:asciiTheme="minorEastAsia" w:hAnsiTheme="minorEastAsia" w:eastAsiaTheme="minorEastAsia" w:cstheme="minorEastAsia"/>
          <w:color w:val="000000"/>
          <w:sz w:val="32"/>
          <w:szCs w:val="32"/>
        </w:rPr>
        <w:t>的结构及组成</w:t>
      </w:r>
      <w:r>
        <w:rPr>
          <w:rFonts w:hint="eastAsia" w:asciiTheme="minorEastAsia" w:hAnsiTheme="minorEastAsia" w:eastAsiaTheme="minorEastAsia" w:cstheme="minorEastAsia"/>
          <w:color w:val="000000"/>
          <w:sz w:val="32"/>
          <w:szCs w:val="32"/>
        </w:rPr>
        <w:t>的不同对安全</w:t>
      </w:r>
      <w:r>
        <w:rPr>
          <w:rFonts w:hint="eastAsia" w:asciiTheme="minorEastAsia" w:hAnsiTheme="minorEastAsia" w:eastAsiaTheme="minorEastAsia" w:cstheme="minorEastAsia"/>
          <w:color w:val="000000"/>
          <w:sz w:val="32"/>
          <w:szCs w:val="32"/>
        </w:rPr>
        <w:t>性和</w:t>
      </w:r>
      <w:r>
        <w:rPr>
          <w:rFonts w:hint="eastAsia" w:asciiTheme="minorEastAsia" w:hAnsiTheme="minorEastAsia" w:eastAsiaTheme="minorEastAsia" w:cstheme="minorEastAsia"/>
          <w:color w:val="000000"/>
          <w:sz w:val="32"/>
          <w:szCs w:val="32"/>
        </w:rPr>
        <w:t>有效性有影响的情况</w:t>
      </w:r>
      <w:r>
        <w:rPr>
          <w:rFonts w:hint="eastAsia" w:asciiTheme="minorEastAsia" w:hAnsiTheme="minorEastAsia" w:eastAsiaTheme="minorEastAsia" w:cstheme="minorEastAsia"/>
          <w:color w:val="000000"/>
          <w:sz w:val="32"/>
          <w:szCs w:val="32"/>
        </w:rPr>
        <w:t>，应</w:t>
      </w:r>
      <w:r>
        <w:rPr>
          <w:rFonts w:hint="eastAsia" w:asciiTheme="minorEastAsia" w:hAnsiTheme="minorEastAsia" w:eastAsiaTheme="minorEastAsia" w:cstheme="minorEastAsia"/>
          <w:color w:val="000000"/>
          <w:sz w:val="32"/>
          <w:szCs w:val="32"/>
        </w:rPr>
        <w:t>划分为不同的注册单元</w:t>
      </w:r>
      <w:r>
        <w:rPr>
          <w:rFonts w:hint="eastAsia" w:asciiTheme="minorEastAsia" w:hAnsiTheme="minorEastAsia" w:eastAsiaTheme="minorEastAsia" w:cstheme="minorEastAsia"/>
          <w:color w:val="000000"/>
          <w:sz w:val="32"/>
          <w:szCs w:val="32"/>
        </w:rPr>
        <w:t>，详见</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w:instrText>
      </w:r>
      <w:r>
        <w:rPr>
          <w:rFonts w:hint="eastAsia" w:asciiTheme="minorEastAsia" w:hAnsiTheme="minorEastAsia" w:eastAsiaTheme="minorEastAsia" w:cstheme="minorEastAsia"/>
          <w:color w:val="000000"/>
          <w:sz w:val="32"/>
          <w:szCs w:val="32"/>
        </w:rPr>
        <w:instrText xml:space="preserve">REF _Ref113450724 \h</w:instrText>
      </w:r>
      <w:r>
        <w:rPr>
          <w:rFonts w:hint="eastAsia" w:asciiTheme="minorEastAsia" w:hAnsiTheme="minorEastAsia" w:eastAsiaTheme="minorEastAsia" w:cstheme="minorEastAsia"/>
          <w:color w:val="000000"/>
          <w:sz w:val="32"/>
          <w:szCs w:val="32"/>
        </w:rPr>
        <w:instrText xml:space="preserve">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结构及组成</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w:t>
      </w:r>
    </w:p>
    <w:p>
      <w:pPr>
        <w:numPr>
          <w:ilvl w:val="1"/>
          <w:numId w:val="4"/>
        </w:numPr>
        <w:spacing w:line="520" w:lineRule="exact"/>
        <w:ind w:left="0"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w:t>
      </w:r>
      <w:r>
        <w:rPr>
          <w:rFonts w:hint="eastAsia" w:asciiTheme="minorEastAsia" w:hAnsiTheme="minorEastAsia" w:eastAsiaTheme="minorEastAsia" w:cstheme="minorEastAsia"/>
          <w:color w:val="000000"/>
          <w:sz w:val="32"/>
          <w:szCs w:val="32"/>
        </w:rPr>
        <w:t>的</w:t>
      </w:r>
      <w:r>
        <w:rPr>
          <w:rFonts w:hint="eastAsia" w:asciiTheme="minorEastAsia" w:hAnsiTheme="minorEastAsia" w:eastAsiaTheme="minorEastAsia" w:cstheme="minorEastAsia"/>
          <w:color w:val="000000"/>
          <w:sz w:val="32"/>
          <w:szCs w:val="32"/>
        </w:rPr>
        <w:t>性能指标存在较大差异，导致适用范围或作用机理不同时</w:t>
      </w:r>
      <w:r>
        <w:rPr>
          <w:rFonts w:hint="eastAsia" w:asciiTheme="minorEastAsia" w:hAnsiTheme="minorEastAsia" w:eastAsiaTheme="minorEastAsia" w:cstheme="minorEastAsia"/>
          <w:color w:val="000000"/>
          <w:sz w:val="32"/>
          <w:szCs w:val="32"/>
        </w:rPr>
        <w:t>，或者</w:t>
      </w:r>
      <w:r>
        <w:rPr>
          <w:rFonts w:hint="eastAsia" w:asciiTheme="minorEastAsia" w:hAnsiTheme="minorEastAsia" w:eastAsiaTheme="minorEastAsia" w:cstheme="minorEastAsia"/>
          <w:color w:val="000000"/>
          <w:sz w:val="32"/>
          <w:szCs w:val="32"/>
        </w:rPr>
        <w:t>难以合理选择</w:t>
      </w:r>
      <w:r>
        <w:rPr>
          <w:rFonts w:hint="eastAsia" w:asciiTheme="minorEastAsia" w:hAnsiTheme="minorEastAsia" w:eastAsiaTheme="minorEastAsia" w:cstheme="minorEastAsia"/>
          <w:color w:val="000000"/>
          <w:sz w:val="32"/>
          <w:szCs w:val="32"/>
        </w:rPr>
        <w:t>具有代表性和典型性的研究样品</w:t>
      </w:r>
      <w:r>
        <w:rPr>
          <w:rFonts w:hint="eastAsia" w:asciiTheme="minorEastAsia" w:hAnsiTheme="minorEastAsia" w:eastAsiaTheme="minorEastAsia" w:cstheme="minorEastAsia"/>
          <w:color w:val="000000"/>
          <w:sz w:val="32"/>
          <w:szCs w:val="32"/>
        </w:rPr>
        <w:t>，宜划分为不同的注册单元。</w:t>
      </w:r>
    </w:p>
    <w:p>
      <w:pPr>
        <w:numPr>
          <w:ilvl w:val="1"/>
          <w:numId w:val="4"/>
        </w:numPr>
        <w:spacing w:line="520" w:lineRule="exact"/>
        <w:ind w:left="0"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无创血糖监测产品适用范围</w:t>
      </w:r>
      <w:r>
        <w:rPr>
          <w:rFonts w:hint="eastAsia" w:asciiTheme="minorEastAsia" w:hAnsiTheme="minorEastAsia" w:eastAsiaTheme="minorEastAsia" w:cstheme="minorEastAsia"/>
          <w:color w:val="000000"/>
          <w:sz w:val="32"/>
          <w:szCs w:val="32"/>
        </w:rPr>
        <w:t>有实质不同的</w:t>
      </w:r>
      <w:r>
        <w:rPr>
          <w:rFonts w:hint="eastAsia" w:asciiTheme="minorEastAsia" w:hAnsiTheme="minorEastAsia" w:eastAsiaTheme="minorEastAsia" w:cstheme="minorEastAsia"/>
          <w:color w:val="000000"/>
          <w:sz w:val="32"/>
          <w:szCs w:val="32"/>
        </w:rPr>
        <w:t>情况，应</w:t>
      </w:r>
      <w:r>
        <w:rPr>
          <w:rFonts w:hint="eastAsia" w:asciiTheme="minorEastAsia" w:hAnsiTheme="minorEastAsia" w:eastAsiaTheme="minorEastAsia" w:cstheme="minorEastAsia"/>
          <w:color w:val="000000"/>
          <w:sz w:val="32"/>
          <w:szCs w:val="32"/>
        </w:rPr>
        <w:t>划分为不同的注册单元</w:t>
      </w:r>
      <w:r>
        <w:rPr>
          <w:rFonts w:hint="eastAsia" w:asciiTheme="minorEastAsia" w:hAnsiTheme="minorEastAsia" w:eastAsiaTheme="minorEastAsia" w:cstheme="minorEastAsia"/>
          <w:color w:val="000000"/>
          <w:sz w:val="32"/>
          <w:szCs w:val="32"/>
        </w:rPr>
        <w:t>，详见</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w:instrText>
      </w:r>
      <w:r>
        <w:rPr>
          <w:rFonts w:hint="eastAsia" w:asciiTheme="minorEastAsia" w:hAnsiTheme="minorEastAsia" w:eastAsiaTheme="minorEastAsia" w:cstheme="minorEastAsia"/>
          <w:color w:val="000000"/>
          <w:sz w:val="32"/>
          <w:szCs w:val="32"/>
        </w:rPr>
        <w:instrText xml:space="preserve">REF _Ref113451158 \h</w:instrText>
      </w:r>
      <w:r>
        <w:rPr>
          <w:rFonts w:hint="eastAsia" w:asciiTheme="minorEastAsia" w:hAnsiTheme="minorEastAsia" w:eastAsiaTheme="minorEastAsia" w:cstheme="minorEastAsia"/>
          <w:color w:val="000000"/>
          <w:sz w:val="32"/>
          <w:szCs w:val="32"/>
        </w:rPr>
        <w:instrText xml:space="preserve">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适用范围</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w:t>
      </w:r>
    </w:p>
    <w:p>
      <w:pPr>
        <w:widowControl/>
        <w:numPr>
          <w:ilvl w:val="0"/>
          <w:numId w:val="2"/>
        </w:numPr>
        <w:spacing w:line="520" w:lineRule="exact"/>
        <w:ind w:left="0" w:firstLine="640" w:firstLineChars="200"/>
        <w:outlineLvl w:val="1"/>
        <w:rPr>
          <w:rFonts w:hint="eastAsia" w:asciiTheme="minorEastAsia" w:hAnsiTheme="minorEastAsia" w:eastAsiaTheme="minorEastAsia" w:cstheme="minorEastAsia"/>
          <w:bCs/>
          <w:color w:val="000000"/>
          <w:sz w:val="32"/>
          <w:szCs w:val="32"/>
        </w:rPr>
      </w:pPr>
      <w:bookmarkStart w:id="15" w:name="_Toc112680006"/>
      <w:bookmarkStart w:id="16" w:name="_Ref111494493"/>
      <w:r>
        <w:rPr>
          <w:rFonts w:hint="eastAsia" w:asciiTheme="minorEastAsia" w:hAnsiTheme="minorEastAsia" w:eastAsiaTheme="minorEastAsia" w:cstheme="minorEastAsia"/>
          <w:bCs/>
          <w:color w:val="000000"/>
          <w:sz w:val="32"/>
          <w:szCs w:val="32"/>
        </w:rPr>
        <w:t>综述资料</w:t>
      </w:r>
      <w:bookmarkEnd w:id="15"/>
      <w:bookmarkEnd w:id="16"/>
    </w:p>
    <w:p>
      <w:pPr>
        <w:numPr>
          <w:ilvl w:val="0"/>
          <w:numId w:val="5"/>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17" w:name="_Toc112680007"/>
      <w:r>
        <w:rPr>
          <w:rFonts w:hint="eastAsia" w:asciiTheme="minorEastAsia" w:hAnsiTheme="minorEastAsia" w:eastAsiaTheme="minorEastAsia" w:cstheme="minorEastAsia"/>
          <w:color w:val="000000"/>
          <w:sz w:val="32"/>
          <w:szCs w:val="32"/>
        </w:rPr>
        <w:t>概述</w:t>
      </w:r>
      <w:bookmarkEnd w:id="17"/>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18" w:name="_Toc112680008"/>
      <w:r>
        <w:rPr>
          <w:rFonts w:hint="eastAsia" w:asciiTheme="minorEastAsia" w:hAnsiTheme="minorEastAsia" w:eastAsiaTheme="minorEastAsia" w:cstheme="minorEastAsia"/>
          <w:color w:val="000000"/>
          <w:sz w:val="32"/>
          <w:szCs w:val="32"/>
        </w:rPr>
        <w:t>产品名称</w:t>
      </w:r>
      <w:bookmarkEnd w:id="18"/>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color w:val="000000"/>
          <w:sz w:val="32"/>
          <w:szCs w:val="32"/>
        </w:rPr>
        <w:t>申请人应描述申报产品的通用名称及其确定依据。</w:t>
      </w:r>
      <w:r>
        <w:rPr>
          <w:rFonts w:hint="eastAsia" w:asciiTheme="minorEastAsia" w:hAnsiTheme="minorEastAsia" w:eastAsiaTheme="minorEastAsia" w:cstheme="minorEastAsia"/>
          <w:sz w:val="32"/>
          <w:szCs w:val="32"/>
        </w:rPr>
        <w:t>按照《医疗器械通用名称命名规则》并参考《医疗器械通用名称命名指导原则》，产品通用名称由核心词和特征词组成。</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color w:val="000000"/>
          <w:sz w:val="32"/>
          <w:szCs w:val="32"/>
        </w:rPr>
        <w:t>无创血糖监测产品通过检测局部组织生理代谢情况，估计葡萄糖浓度（</w:t>
      </w:r>
      <w:r>
        <w:rPr>
          <w:rFonts w:hint="eastAsia" w:asciiTheme="minorEastAsia" w:hAnsiTheme="minorEastAsia" w:eastAsiaTheme="minorEastAsia" w:cstheme="minorEastAsia"/>
          <w:sz w:val="32"/>
          <w:szCs w:val="32"/>
        </w:rPr>
        <w:t>末梢全血葡萄糖浓度或者校准为血浆葡萄糖浓度</w:t>
      </w:r>
      <w:r>
        <w:rPr>
          <w:rFonts w:hint="eastAsia" w:asciiTheme="minorEastAsia" w:hAnsiTheme="minorEastAsia" w:eastAsiaTheme="minorEastAsia" w:cstheme="minorEastAsia"/>
          <w:bCs/>
          <w:color w:val="000000"/>
          <w:sz w:val="32"/>
          <w:szCs w:val="32"/>
        </w:rPr>
        <w:t>），无创地</w:t>
      </w:r>
      <w:r>
        <w:rPr>
          <w:rFonts w:hint="eastAsia" w:asciiTheme="minorEastAsia" w:hAnsiTheme="minorEastAsia" w:eastAsiaTheme="minorEastAsia" w:cstheme="minorEastAsia"/>
          <w:sz w:val="32"/>
          <w:szCs w:val="32"/>
        </w:rPr>
        <w:t>提供血糖值（毛细血管血糖值或者糖化血红蛋白值）等。申请人应按照</w:t>
      </w:r>
      <w:r>
        <w:rPr>
          <w:rFonts w:hint="eastAsia" w:asciiTheme="minorEastAsia" w:hAnsiTheme="minorEastAsia" w:eastAsiaTheme="minorEastAsia" w:cstheme="minorEastAsia"/>
          <w:kern w:val="0"/>
          <w:sz w:val="32"/>
          <w:szCs w:val="32"/>
        </w:rPr>
        <w:t>无创血糖监测产品</w:t>
      </w:r>
      <w:r>
        <w:rPr>
          <w:rFonts w:hint="eastAsia" w:asciiTheme="minorEastAsia" w:hAnsiTheme="minorEastAsia" w:eastAsiaTheme="minorEastAsia" w:cstheme="minorEastAsia"/>
          <w:sz w:val="32"/>
          <w:szCs w:val="32"/>
        </w:rPr>
        <w:t>的检测参数来确定产品名称的核心词，例如，血糖仪</w:t>
      </w:r>
      <w:r>
        <w:rPr>
          <w:rFonts w:hint="eastAsia" w:asciiTheme="minorEastAsia" w:hAnsiTheme="minorEastAsia" w:eastAsiaTheme="minorEastAsia" w:cstheme="minorEastAsia"/>
          <w:sz w:val="32"/>
          <w:szCs w:val="32"/>
        </w:rPr>
        <w:t>(Glucose Meter)。</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申请人应按照</w:t>
      </w:r>
      <w:r>
        <w:rPr>
          <w:rFonts w:hint="eastAsia" w:asciiTheme="minorEastAsia" w:hAnsiTheme="minorEastAsia" w:eastAsiaTheme="minorEastAsia" w:cstheme="minorEastAsia"/>
          <w:kern w:val="0"/>
          <w:sz w:val="32"/>
          <w:szCs w:val="32"/>
        </w:rPr>
        <w:t>无创血糖监测产品</w:t>
      </w:r>
      <w:r>
        <w:rPr>
          <w:rFonts w:hint="eastAsia" w:asciiTheme="minorEastAsia" w:hAnsiTheme="minorEastAsia" w:eastAsiaTheme="minorEastAsia" w:cstheme="minorEastAsia"/>
          <w:sz w:val="32"/>
          <w:szCs w:val="32"/>
        </w:rPr>
        <w:t>的技术特点和结构组成来确定产品名称的特征词，常见的产品名称如下：</w:t>
      </w:r>
    </w:p>
    <w:p>
      <w:pPr>
        <w:numPr>
          <w:ilvl w:val="2"/>
          <w:numId w:val="6"/>
        </w:numPr>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正常使用中仅通过无创方式进行血糖监测的产品，宜</w:t>
      </w:r>
      <w:r>
        <w:rPr>
          <w:rFonts w:hint="eastAsia" w:asciiTheme="minorEastAsia" w:hAnsiTheme="minorEastAsia" w:eastAsiaTheme="minorEastAsia" w:cstheme="minorEastAsia"/>
          <w:sz w:val="32"/>
          <w:szCs w:val="32"/>
        </w:rPr>
        <w:t>命名为无创血糖仪(Noninvasive Glucose Meter)；</w:t>
      </w:r>
    </w:p>
    <w:p>
      <w:pPr>
        <w:numPr>
          <w:ilvl w:val="2"/>
          <w:numId w:val="6"/>
        </w:numPr>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正常使用中通过无创方式进行血糖监测且需要利用有</w:t>
      </w:r>
      <w:r>
        <w:rPr>
          <w:rFonts w:hint="eastAsia" w:asciiTheme="minorEastAsia" w:hAnsiTheme="minorEastAsia" w:eastAsiaTheme="minorEastAsia" w:cstheme="minorEastAsia"/>
          <w:sz w:val="32"/>
          <w:szCs w:val="32"/>
        </w:rPr>
        <w:t>创血糖检测数据进行校准的产品应命名为血糖仪(Glucose Meter)；</w:t>
      </w:r>
    </w:p>
    <w:p>
      <w:pPr>
        <w:numPr>
          <w:ilvl w:val="2"/>
          <w:numId w:val="6"/>
        </w:numPr>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正常使用中组合通过无创方式或有创方式进行血糖监</w:t>
      </w:r>
      <w:r>
        <w:rPr>
          <w:rFonts w:hint="eastAsia" w:asciiTheme="minorEastAsia" w:hAnsiTheme="minorEastAsia" w:eastAsiaTheme="minorEastAsia" w:cstheme="minorEastAsia"/>
          <w:sz w:val="32"/>
          <w:szCs w:val="32"/>
        </w:rPr>
        <w:t>测的产品，宜命名为组合血糖仪(Hybrid Glucose Meter)。</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19" w:name="_Toc112680009"/>
      <w:r>
        <w:rPr>
          <w:rFonts w:hint="eastAsia" w:asciiTheme="minorEastAsia" w:hAnsiTheme="minorEastAsia" w:eastAsiaTheme="minorEastAsia" w:cstheme="minorEastAsia"/>
          <w:color w:val="000000"/>
          <w:sz w:val="32"/>
          <w:szCs w:val="32"/>
        </w:rPr>
        <w:t>产品的管理类别</w:t>
      </w:r>
      <w:bookmarkEnd w:id="19"/>
      <w:r>
        <w:rPr>
          <w:rFonts w:hint="eastAsia" w:asciiTheme="minorEastAsia" w:hAnsiTheme="minorEastAsia" w:eastAsiaTheme="minorEastAsia" w:cstheme="minorEastAsia"/>
          <w:color w:val="000000"/>
          <w:sz w:val="32"/>
          <w:szCs w:val="32"/>
        </w:rPr>
        <w:t>和分类编码</w:t>
      </w:r>
    </w:p>
    <w:p>
      <w:pPr>
        <w:spacing w:line="520" w:lineRule="exact"/>
        <w:ind w:firstLine="64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sz w:val="32"/>
          <w:szCs w:val="32"/>
        </w:rPr>
        <w:t>产品具有通过无创方式监测人体血糖的功能或适用范围的，</w:t>
      </w:r>
      <w:r>
        <w:rPr>
          <w:rFonts w:hint="eastAsia" w:asciiTheme="minorEastAsia" w:hAnsiTheme="minorEastAsia" w:eastAsiaTheme="minorEastAsia" w:cstheme="minorEastAsia"/>
          <w:bCs/>
          <w:color w:val="000000"/>
          <w:sz w:val="32"/>
          <w:szCs w:val="32"/>
        </w:rPr>
        <w:t>作为Ⅲ类医疗器械管理</w:t>
      </w:r>
      <w:r>
        <w:rPr>
          <w:rFonts w:hint="eastAsia" w:asciiTheme="minorEastAsia" w:hAnsiTheme="minorEastAsia" w:eastAsiaTheme="minorEastAsia" w:cstheme="minorEastAsia"/>
          <w:bCs/>
          <w:color w:val="000000"/>
          <w:sz w:val="32"/>
          <w:szCs w:val="32"/>
        </w:rPr>
        <w:t>。</w:t>
      </w:r>
    </w:p>
    <w:p>
      <w:pPr>
        <w:spacing w:line="520" w:lineRule="exact"/>
        <w:ind w:firstLine="64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按照《医疗器械分类目录》，</w:t>
      </w:r>
      <w:r>
        <w:rPr>
          <w:rFonts w:hint="eastAsia" w:asciiTheme="minorEastAsia" w:hAnsiTheme="minorEastAsia" w:eastAsiaTheme="minorEastAsia" w:cstheme="minorEastAsia"/>
          <w:sz w:val="32"/>
          <w:szCs w:val="32"/>
        </w:rPr>
        <w:t>无创血糖监测产品</w:t>
      </w:r>
      <w:r>
        <w:rPr>
          <w:rFonts w:hint="eastAsia" w:asciiTheme="minorEastAsia" w:hAnsiTheme="minorEastAsia" w:eastAsiaTheme="minorEastAsia" w:cstheme="minorEastAsia"/>
          <w:bCs/>
          <w:color w:val="000000"/>
          <w:sz w:val="32"/>
          <w:szCs w:val="32"/>
        </w:rPr>
        <w:t>所属分类子目录为07医用诊察和监护器械，一级产品类别为03生理参数分析测量设备，二级产品类别为00，分类编码07-03-00。</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20" w:name="_Toc112680010"/>
      <w:r>
        <w:rPr>
          <w:rFonts w:hint="eastAsia" w:asciiTheme="minorEastAsia" w:hAnsiTheme="minorEastAsia" w:eastAsiaTheme="minorEastAsia" w:cstheme="minorEastAsia"/>
          <w:color w:val="000000"/>
          <w:sz w:val="32"/>
          <w:szCs w:val="32"/>
        </w:rPr>
        <w:t>产品</w:t>
      </w:r>
      <w:r>
        <w:rPr>
          <w:rFonts w:hint="eastAsia" w:asciiTheme="minorEastAsia" w:hAnsiTheme="minorEastAsia" w:eastAsiaTheme="minorEastAsia" w:cstheme="minorEastAsia"/>
          <w:color w:val="000000"/>
          <w:sz w:val="32"/>
          <w:szCs w:val="32"/>
        </w:rPr>
        <w:t>的</w:t>
      </w:r>
      <w:r>
        <w:rPr>
          <w:rFonts w:hint="eastAsia" w:asciiTheme="minorEastAsia" w:hAnsiTheme="minorEastAsia" w:eastAsiaTheme="minorEastAsia" w:cstheme="minorEastAsia"/>
          <w:color w:val="000000"/>
          <w:sz w:val="32"/>
          <w:szCs w:val="32"/>
        </w:rPr>
        <w:t>适用范围</w:t>
      </w:r>
      <w:bookmarkEnd w:id="20"/>
    </w:p>
    <w:p>
      <w:pPr>
        <w:spacing w:line="520" w:lineRule="exact"/>
        <w:ind w:firstLine="64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产品适用范围应与申请表、产品说明书的相关内容保持一致，详见</w:t>
      </w:r>
      <w:r>
        <w:rPr>
          <w:rFonts w:hint="eastAsia" w:asciiTheme="minorEastAsia" w:hAnsiTheme="minorEastAsia" w:eastAsiaTheme="minorEastAsia" w:cstheme="minorEastAsia"/>
          <w:bCs/>
          <w:color w:val="000000"/>
          <w:sz w:val="32"/>
          <w:szCs w:val="32"/>
        </w:rPr>
        <w:fldChar w:fldCharType="begin"/>
      </w:r>
      <w:r>
        <w:rPr>
          <w:rFonts w:hint="eastAsia" w:asciiTheme="minorEastAsia" w:hAnsiTheme="minorEastAsia" w:eastAsiaTheme="minorEastAsia" w:cstheme="minorEastAsia"/>
          <w:bCs/>
          <w:color w:val="000000"/>
          <w:sz w:val="32"/>
          <w:szCs w:val="32"/>
        </w:rPr>
        <w:instrText xml:space="preserve"> </w:instrText>
      </w:r>
      <w:r>
        <w:rPr>
          <w:rFonts w:hint="eastAsia" w:asciiTheme="minorEastAsia" w:hAnsiTheme="minorEastAsia" w:eastAsiaTheme="minorEastAsia" w:cstheme="minorEastAsia"/>
          <w:bCs/>
          <w:color w:val="000000"/>
          <w:sz w:val="32"/>
          <w:szCs w:val="32"/>
        </w:rPr>
        <w:instrText xml:space="preserve">REF _Ref111494533 \h</w:instrText>
      </w:r>
      <w:r>
        <w:rPr>
          <w:rFonts w:hint="eastAsia" w:asciiTheme="minorEastAsia" w:hAnsiTheme="minorEastAsia" w:eastAsiaTheme="minorEastAsia" w:cstheme="minorEastAsia"/>
          <w:bCs/>
          <w:color w:val="000000"/>
          <w:sz w:val="32"/>
          <w:szCs w:val="32"/>
        </w:rPr>
        <w:instrText xml:space="preserve"> </w:instrText>
      </w:r>
      <w:r>
        <w:rPr>
          <w:rFonts w:hint="eastAsia" w:asciiTheme="minorEastAsia" w:hAnsiTheme="minorEastAsia" w:eastAsiaTheme="minorEastAsia" w:cstheme="minorEastAsia"/>
          <w:bCs/>
          <w:color w:val="000000"/>
          <w:sz w:val="32"/>
          <w:szCs w:val="32"/>
        </w:rPr>
        <w:fldChar w:fldCharType="separate"/>
      </w:r>
      <w:r>
        <w:rPr>
          <w:rFonts w:hint="eastAsia" w:asciiTheme="minorEastAsia" w:hAnsiTheme="minorEastAsia" w:eastAsiaTheme="minorEastAsia" w:cstheme="minorEastAsia"/>
          <w:color w:val="000000"/>
          <w:sz w:val="32"/>
          <w:szCs w:val="32"/>
        </w:rPr>
        <w:t>适用范围和禁忌证</w:t>
      </w:r>
      <w:r>
        <w:rPr>
          <w:rFonts w:hint="eastAsia" w:asciiTheme="minorEastAsia" w:hAnsiTheme="minorEastAsia" w:eastAsiaTheme="minorEastAsia" w:cstheme="minorEastAsia"/>
          <w:bCs/>
          <w:color w:val="000000"/>
          <w:sz w:val="32"/>
          <w:szCs w:val="32"/>
        </w:rPr>
        <w:fldChar w:fldCharType="end"/>
      </w:r>
      <w:r>
        <w:rPr>
          <w:rFonts w:hint="eastAsia" w:asciiTheme="minorEastAsia" w:hAnsiTheme="minorEastAsia" w:eastAsiaTheme="minorEastAsia" w:cstheme="minorEastAsia"/>
          <w:bCs/>
          <w:color w:val="000000"/>
          <w:sz w:val="32"/>
          <w:szCs w:val="32"/>
        </w:rPr>
        <w:t>。</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21" w:name="_Toc112680011"/>
      <w:r>
        <w:rPr>
          <w:rFonts w:hint="eastAsia" w:asciiTheme="minorEastAsia" w:hAnsiTheme="minorEastAsia" w:eastAsiaTheme="minorEastAsia" w:cstheme="minorEastAsia"/>
          <w:color w:val="000000"/>
          <w:sz w:val="32"/>
          <w:szCs w:val="32"/>
        </w:rPr>
        <w:t>背景信息概述</w:t>
      </w:r>
      <w:bookmarkEnd w:id="21"/>
    </w:p>
    <w:p>
      <w:pPr>
        <w:spacing w:line="520" w:lineRule="exact"/>
        <w:ind w:firstLine="64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如适用，申请人应</w:t>
      </w:r>
      <w:r>
        <w:rPr>
          <w:rFonts w:hint="eastAsia" w:asciiTheme="minorEastAsia" w:hAnsiTheme="minorEastAsia" w:eastAsiaTheme="minorEastAsia" w:cstheme="minorEastAsia"/>
          <w:bCs/>
          <w:color w:val="000000"/>
          <w:sz w:val="32"/>
          <w:szCs w:val="32"/>
        </w:rPr>
        <w:t>描述有关产品</w:t>
      </w:r>
      <w:r>
        <w:rPr>
          <w:rFonts w:hint="eastAsia" w:asciiTheme="minorEastAsia" w:hAnsiTheme="minorEastAsia" w:eastAsiaTheme="minorEastAsia" w:cstheme="minorEastAsia"/>
          <w:bCs/>
          <w:color w:val="000000"/>
          <w:sz w:val="32"/>
          <w:szCs w:val="32"/>
        </w:rPr>
        <w:t>的</w:t>
      </w:r>
      <w:r>
        <w:rPr>
          <w:rFonts w:hint="eastAsia" w:asciiTheme="minorEastAsia" w:hAnsiTheme="minorEastAsia" w:eastAsiaTheme="minorEastAsia" w:cstheme="minorEastAsia"/>
          <w:bCs/>
          <w:color w:val="000000"/>
          <w:sz w:val="32"/>
          <w:szCs w:val="32"/>
        </w:rPr>
        <w:t>背景信息概述或特别细节，</w:t>
      </w:r>
      <w:r>
        <w:rPr>
          <w:rFonts w:hint="eastAsia" w:asciiTheme="minorEastAsia" w:hAnsiTheme="minorEastAsia" w:eastAsiaTheme="minorEastAsia" w:cstheme="minorEastAsia"/>
          <w:bCs/>
          <w:color w:val="000000"/>
          <w:sz w:val="32"/>
          <w:szCs w:val="32"/>
        </w:rPr>
        <w:t>例如，</w:t>
      </w:r>
      <w:r>
        <w:rPr>
          <w:rFonts w:hint="eastAsia" w:asciiTheme="minorEastAsia" w:hAnsiTheme="minorEastAsia" w:eastAsiaTheme="minorEastAsia" w:cstheme="minorEastAsia"/>
          <w:bCs/>
          <w:color w:val="000000"/>
          <w:sz w:val="32"/>
          <w:szCs w:val="32"/>
        </w:rPr>
        <w:t>申报产品的历史概述、历次提交的信息，与其他经批准上市产品的关系等。</w:t>
      </w:r>
    </w:p>
    <w:p>
      <w:pPr>
        <w:numPr>
          <w:ilvl w:val="0"/>
          <w:numId w:val="5"/>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22" w:name="_Toc112680012"/>
      <w:r>
        <w:rPr>
          <w:rFonts w:hint="eastAsia" w:asciiTheme="minorEastAsia" w:hAnsiTheme="minorEastAsia" w:eastAsiaTheme="minorEastAsia" w:cstheme="minorEastAsia"/>
          <w:color w:val="000000"/>
          <w:sz w:val="32"/>
          <w:szCs w:val="32"/>
        </w:rPr>
        <w:t>产品描述</w:t>
      </w:r>
      <w:bookmarkEnd w:id="22"/>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23" w:name="_Ref113451210"/>
      <w:bookmarkStart w:id="24" w:name="_Ref113451202"/>
      <w:bookmarkStart w:id="25" w:name="_Ref113450602"/>
      <w:bookmarkStart w:id="26" w:name="_Ref113451213"/>
      <w:bookmarkStart w:id="27" w:name="_Ref113451223"/>
      <w:bookmarkStart w:id="28" w:name="_Toc112680013"/>
      <w:bookmarkStart w:id="29" w:name="_Ref113451217"/>
      <w:bookmarkStart w:id="30" w:name="_Ref113451192"/>
      <w:r>
        <w:rPr>
          <w:rFonts w:hint="eastAsia" w:asciiTheme="minorEastAsia" w:hAnsiTheme="minorEastAsia" w:eastAsiaTheme="minorEastAsia" w:cstheme="minorEastAsia"/>
          <w:color w:val="000000"/>
          <w:sz w:val="32"/>
          <w:szCs w:val="32"/>
        </w:rPr>
        <w:t>器械及操作原理描述</w:t>
      </w:r>
      <w:bookmarkEnd w:id="23"/>
      <w:bookmarkEnd w:id="24"/>
      <w:bookmarkEnd w:id="25"/>
      <w:bookmarkEnd w:id="26"/>
      <w:bookmarkEnd w:id="27"/>
      <w:bookmarkEnd w:id="28"/>
      <w:bookmarkEnd w:id="29"/>
      <w:bookmarkEnd w:id="30"/>
    </w:p>
    <w:p>
      <w:pPr>
        <w:spacing w:after="156" w:afterLines="50"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w:t>
      </w:r>
      <w:r>
        <w:rPr>
          <w:rFonts w:hint="eastAsia" w:asciiTheme="minorEastAsia" w:hAnsiTheme="minorEastAsia" w:eastAsiaTheme="minorEastAsia" w:cstheme="minorEastAsia"/>
          <w:sz w:val="32"/>
          <w:szCs w:val="32"/>
        </w:rPr>
        <w:t>无创血糖监测的临床机理和</w:t>
      </w:r>
      <w:r>
        <w:rPr>
          <w:rFonts w:hint="eastAsia" w:asciiTheme="minorEastAsia" w:hAnsiTheme="minorEastAsia" w:eastAsiaTheme="minorEastAsia" w:cstheme="minorEastAsia"/>
          <w:color w:val="000000"/>
          <w:sz w:val="32"/>
          <w:szCs w:val="32"/>
        </w:rPr>
        <w:t>技术</w:t>
      </w:r>
      <w:r>
        <w:rPr>
          <w:rFonts w:hint="eastAsia" w:asciiTheme="minorEastAsia" w:hAnsiTheme="minorEastAsia" w:eastAsiaTheme="minorEastAsia" w:cstheme="minorEastAsia"/>
          <w:color w:val="000000"/>
          <w:sz w:val="32"/>
          <w:szCs w:val="32"/>
        </w:rPr>
        <w:t>原理</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sz w:val="32"/>
          <w:szCs w:val="32"/>
        </w:rPr>
        <w:t>应详细描述</w:t>
      </w:r>
      <w:r>
        <w:rPr>
          <w:rFonts w:hint="eastAsia" w:asciiTheme="minorEastAsia" w:hAnsiTheme="minorEastAsia" w:eastAsiaTheme="minorEastAsia" w:cstheme="minorEastAsia"/>
          <w:color w:val="000000"/>
          <w:sz w:val="32"/>
          <w:szCs w:val="32"/>
        </w:rPr>
        <w:t>无创血糖监测产品基于某种生理现象的临床机理、技术原理、技术方</w:t>
      </w:r>
      <w:r>
        <w:rPr>
          <w:rFonts w:hint="eastAsia" w:asciiTheme="minorEastAsia" w:hAnsiTheme="minorEastAsia" w:eastAsiaTheme="minorEastAsia" w:cstheme="minorEastAsia"/>
          <w:color w:val="000000"/>
          <w:sz w:val="32"/>
          <w:szCs w:val="32"/>
        </w:rPr>
        <w:t>法（例如，人工智能技术等）、工程实现过程，例如，</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REF _Ref112611085 \h  \* MERGEFORMAT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sz w:val="32"/>
          <w:szCs w:val="32"/>
        </w:rPr>
        <w:t>表1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w:t>
      </w:r>
    </w:p>
    <w:p>
      <w:pPr>
        <w:pStyle w:val="7"/>
        <w:keepNext/>
        <w:spacing w:line="520" w:lineRule="exact"/>
        <w:jc w:val="center"/>
        <w:rPr>
          <w:rFonts w:hint="eastAsia" w:asciiTheme="minorEastAsia" w:hAnsiTheme="minorEastAsia" w:eastAsiaTheme="minorEastAsia" w:cstheme="minorEastAsia"/>
          <w:sz w:val="28"/>
          <w:szCs w:val="28"/>
        </w:rPr>
      </w:pPr>
      <w:bookmarkStart w:id="31" w:name="_Ref112611085"/>
      <w:r>
        <w:rPr>
          <w:rFonts w:hint="eastAsia" w:asciiTheme="minorEastAsia" w:hAnsiTheme="minorEastAsia" w:eastAsiaTheme="minorEastAsia" w:cstheme="minorEastAsia"/>
          <w:sz w:val="28"/>
          <w:szCs w:val="28"/>
        </w:rPr>
        <w:t>表</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SEQ 表 \* ARABIC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bookmarkEnd w:id="31"/>
      <w:r>
        <w:rPr>
          <w:rFonts w:hint="eastAsia" w:asciiTheme="minorEastAsia" w:hAnsiTheme="minorEastAsia" w:eastAsiaTheme="minorEastAsia" w:cstheme="minorEastAsia"/>
          <w:sz w:val="28"/>
          <w:szCs w:val="28"/>
        </w:rPr>
        <w:t xml:space="preserve"> 无创血糖监测的</w:t>
      </w:r>
      <w:r>
        <w:rPr>
          <w:rFonts w:hint="eastAsia" w:asciiTheme="minorEastAsia" w:hAnsiTheme="minorEastAsia" w:eastAsiaTheme="minorEastAsia" w:cstheme="minorEastAsia"/>
          <w:color w:val="000000"/>
          <w:sz w:val="28"/>
          <w:szCs w:val="28"/>
        </w:rPr>
        <w:t>技术原理举例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血液替代物法</w:t>
            </w:r>
          </w:p>
        </w:tc>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反离子渗透法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restart"/>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光谱学法</w:t>
            </w:r>
          </w:p>
        </w:tc>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射频波法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pPr>
              <w:adjustRightInd w:val="0"/>
              <w:snapToGrid w:val="0"/>
              <w:jc w:val="center"/>
              <w:rPr>
                <w:rFonts w:hint="eastAsia" w:asciiTheme="minorEastAsia" w:hAnsiTheme="minorEastAsia" w:eastAsiaTheme="minorEastAsia" w:cstheme="minorEastAsia"/>
                <w:sz w:val="28"/>
                <w:szCs w:val="28"/>
              </w:rPr>
            </w:pPr>
          </w:p>
        </w:tc>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拉曼光谱法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pPr>
              <w:adjustRightInd w:val="0"/>
              <w:snapToGrid w:val="0"/>
              <w:jc w:val="center"/>
              <w:rPr>
                <w:rFonts w:hint="eastAsia" w:asciiTheme="minorEastAsia" w:hAnsiTheme="minorEastAsia" w:eastAsiaTheme="minorEastAsia" w:cstheme="minorEastAsia"/>
                <w:sz w:val="28"/>
                <w:szCs w:val="28"/>
              </w:rPr>
            </w:pPr>
          </w:p>
        </w:tc>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近红外光谱法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restart"/>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代谢守恒方法</w:t>
            </w:r>
          </w:p>
        </w:tc>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平衡态代谢热整合法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pPr>
              <w:adjustRightInd w:val="0"/>
              <w:snapToGrid w:val="0"/>
              <w:jc w:val="center"/>
              <w:rPr>
                <w:rFonts w:hint="eastAsia" w:asciiTheme="minorEastAsia" w:hAnsiTheme="minorEastAsia" w:eastAsiaTheme="minorEastAsia" w:cstheme="minorEastAsia"/>
                <w:sz w:val="28"/>
                <w:szCs w:val="28"/>
              </w:rPr>
            </w:pPr>
          </w:p>
        </w:tc>
        <w:tc>
          <w:tcPr>
            <w:tcW w:w="4502" w:type="dxa"/>
            <w:vAlign w:val="center"/>
          </w:tcPr>
          <w:p>
            <w:pPr>
              <w:adjustRightInd w:val="0"/>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非平衡态代谢热整合法</w:t>
            </w:r>
          </w:p>
        </w:tc>
      </w:tr>
    </w:tbl>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32" w:name="_Ref113450724"/>
      <w:bookmarkStart w:id="33" w:name="_Toc112680014"/>
      <w:r>
        <w:rPr>
          <w:rFonts w:hint="eastAsia" w:asciiTheme="minorEastAsia" w:hAnsiTheme="minorEastAsia" w:eastAsiaTheme="minorEastAsia" w:cstheme="minorEastAsia"/>
          <w:color w:val="000000"/>
          <w:sz w:val="32"/>
          <w:szCs w:val="32"/>
        </w:rPr>
        <w:t>结构及组成</w:t>
      </w:r>
      <w:bookmarkEnd w:id="32"/>
      <w:bookmarkEnd w:id="33"/>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申请人应提供</w:t>
      </w:r>
      <w:r>
        <w:rPr>
          <w:rFonts w:hint="eastAsia" w:asciiTheme="minorEastAsia" w:hAnsiTheme="minorEastAsia" w:eastAsiaTheme="minorEastAsia" w:cstheme="minorEastAsia"/>
          <w:color w:val="000000"/>
          <w:sz w:val="32"/>
          <w:szCs w:val="32"/>
        </w:rPr>
        <w:t>无创血糖监测产品图示（含标识、接口、操控面板、应用部分等细节）</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含有多个组成部分的，应说明其连接或组装关系</w:t>
      </w:r>
      <w:r>
        <w:rPr>
          <w:rFonts w:hint="eastAsia" w:asciiTheme="minorEastAsia" w:hAnsiTheme="minorEastAsia" w:eastAsiaTheme="minorEastAsia" w:cstheme="minorEastAsia"/>
          <w:color w:val="000000"/>
          <w:sz w:val="32"/>
          <w:szCs w:val="32"/>
        </w:rPr>
        <w:t>。申请人应提供</w:t>
      </w:r>
      <w:r>
        <w:rPr>
          <w:rFonts w:hint="eastAsia" w:asciiTheme="minorEastAsia" w:hAnsiTheme="minorEastAsia" w:eastAsiaTheme="minorEastAsia" w:cstheme="minorEastAsia"/>
          <w:sz w:val="32"/>
          <w:szCs w:val="32"/>
        </w:rPr>
        <w:t>无创血糖监测产品工程图</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关键组件工程图</w:t>
      </w:r>
      <w:r>
        <w:rPr>
          <w:rFonts w:hint="eastAsia" w:asciiTheme="minorEastAsia" w:hAnsiTheme="minorEastAsia" w:eastAsiaTheme="minorEastAsia" w:cstheme="minorEastAsia"/>
          <w:sz w:val="32"/>
          <w:szCs w:val="32"/>
        </w:rPr>
        <w:t>，重点描述力学、光学、电学、热学等关键组件（含传感器）的设计考量</w:t>
      </w:r>
      <w:r>
        <w:rPr>
          <w:rFonts w:hint="eastAsia" w:asciiTheme="minorEastAsia" w:hAnsiTheme="minorEastAsia" w:eastAsiaTheme="minorEastAsia" w:cstheme="minorEastAsia"/>
          <w:sz w:val="32"/>
          <w:szCs w:val="32"/>
        </w:rPr>
        <w:t>。工程图包含三维爆炸图、二维投影图</w:t>
      </w:r>
      <w:r>
        <w:rPr>
          <w:rFonts w:hint="eastAsia" w:asciiTheme="minorEastAsia" w:hAnsiTheme="minorEastAsia" w:eastAsiaTheme="minorEastAsia" w:cstheme="minorEastAsia"/>
          <w:color w:val="000000"/>
          <w:sz w:val="32"/>
          <w:szCs w:val="32"/>
        </w:rPr>
        <w:t>。</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申请人应描述无创血糖监测产品的</w:t>
      </w:r>
      <w:r>
        <w:rPr>
          <w:rFonts w:hint="eastAsia" w:asciiTheme="minorEastAsia" w:hAnsiTheme="minorEastAsia" w:eastAsiaTheme="minorEastAsia" w:cstheme="minorEastAsia"/>
          <w:color w:val="000000"/>
          <w:sz w:val="32"/>
          <w:szCs w:val="32"/>
        </w:rPr>
        <w:t>主要功能及其组成部件（如关键组件和软件等</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的功能，以及区别于其他同类产品的特征</w:t>
      </w:r>
      <w:r>
        <w:rPr>
          <w:rFonts w:hint="eastAsia" w:asciiTheme="minorEastAsia" w:hAnsiTheme="minorEastAsia" w:eastAsiaTheme="minorEastAsia" w:cstheme="minorEastAsia"/>
          <w:bCs/>
          <w:color w:val="000000"/>
          <w:sz w:val="32"/>
          <w:szCs w:val="32"/>
        </w:rPr>
        <w:t>等内容</w:t>
      </w:r>
      <w:r>
        <w:rPr>
          <w:rFonts w:hint="eastAsia" w:asciiTheme="minorEastAsia" w:hAnsiTheme="minorEastAsia" w:eastAsiaTheme="minorEastAsia" w:cstheme="minorEastAsia"/>
          <w:color w:val="000000"/>
          <w:sz w:val="32"/>
          <w:szCs w:val="32"/>
        </w:rPr>
        <w:t>。</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w:t>
      </w:r>
      <w:r>
        <w:rPr>
          <w:rFonts w:hint="eastAsia" w:asciiTheme="minorEastAsia" w:hAnsiTheme="minorEastAsia" w:eastAsiaTheme="minorEastAsia" w:cstheme="minorEastAsia"/>
          <w:sz w:val="32"/>
          <w:szCs w:val="32"/>
        </w:rPr>
        <w:t>提供电池的类型、容量和电池短路和超温的保护原理，</w:t>
      </w:r>
      <w:r>
        <w:rPr>
          <w:rFonts w:hint="eastAsia" w:asciiTheme="minorEastAsia" w:hAnsiTheme="minorEastAsia" w:eastAsiaTheme="minorEastAsia" w:cstheme="minorEastAsia"/>
          <w:sz w:val="32"/>
          <w:szCs w:val="32"/>
        </w:rPr>
        <w:t>应明确</w:t>
      </w:r>
      <w:r>
        <w:rPr>
          <w:rFonts w:hint="eastAsia" w:asciiTheme="minorEastAsia" w:hAnsiTheme="minorEastAsia" w:eastAsiaTheme="minorEastAsia" w:cstheme="minorEastAsia"/>
          <w:sz w:val="32"/>
          <w:szCs w:val="32"/>
        </w:rPr>
        <w:t>认证信息</w:t>
      </w:r>
      <w:r>
        <w:rPr>
          <w:rFonts w:hint="eastAsia" w:asciiTheme="minorEastAsia" w:hAnsiTheme="minorEastAsia" w:eastAsiaTheme="minorEastAsia" w:cstheme="minorEastAsia"/>
          <w:sz w:val="32"/>
          <w:szCs w:val="32"/>
        </w:rPr>
        <w:t>。</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申请人应明确产品的</w:t>
      </w:r>
      <w:r>
        <w:rPr>
          <w:rFonts w:hint="eastAsia" w:asciiTheme="minorEastAsia" w:hAnsiTheme="minorEastAsia" w:eastAsiaTheme="minorEastAsia" w:cstheme="minorEastAsia"/>
          <w:color w:val="000000"/>
          <w:sz w:val="32"/>
          <w:szCs w:val="32"/>
        </w:rPr>
        <w:t>结构及组成</w:t>
      </w:r>
      <w:r>
        <w:rPr>
          <w:rFonts w:hint="eastAsia" w:asciiTheme="minorEastAsia" w:hAnsiTheme="minorEastAsia" w:eastAsiaTheme="minorEastAsia" w:cstheme="minorEastAsia"/>
          <w:color w:val="000000"/>
          <w:sz w:val="32"/>
          <w:szCs w:val="32"/>
        </w:rPr>
        <w:t>，其内容应与检验报告的相关内容保持一致，例如：</w:t>
      </w:r>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bookmarkStart w:id="34" w:name="_Ref112620219"/>
      <w:bookmarkStart w:id="35" w:name="_Ref112619959"/>
      <w:r>
        <w:rPr>
          <w:rFonts w:hint="eastAsia" w:asciiTheme="minorEastAsia" w:hAnsiTheme="minorEastAsia" w:eastAsiaTheme="minorEastAsia" w:cstheme="minorEastAsia"/>
          <w:color w:val="000000"/>
          <w:sz w:val="32"/>
          <w:szCs w:val="32"/>
        </w:rPr>
        <w:t>无创血糖仪</w:t>
      </w:r>
      <w:bookmarkEnd w:id="34"/>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该产品由探头、软件组成；该产品由主机、探头、电源适配器组成；该产品由传感器、记录仪组成。</w:t>
      </w:r>
      <w:bookmarkEnd w:id="35"/>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组合血糖仪</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该产品由无创模块、有创模块、电源适配器组成，其中，无创模块的结构及组成一般可参考上文中</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w:instrText>
      </w:r>
      <w:r>
        <w:rPr>
          <w:rFonts w:hint="eastAsia" w:asciiTheme="minorEastAsia" w:hAnsiTheme="minorEastAsia" w:eastAsiaTheme="minorEastAsia" w:cstheme="minorEastAsia"/>
          <w:color w:val="000000"/>
          <w:sz w:val="32"/>
          <w:szCs w:val="32"/>
        </w:rPr>
        <w:instrText xml:space="preserve">REF _Ref112620219 \h</w:instrText>
      </w:r>
      <w:r>
        <w:rPr>
          <w:rFonts w:hint="eastAsia" w:asciiTheme="minorEastAsia" w:hAnsiTheme="minorEastAsia" w:eastAsiaTheme="minorEastAsia" w:cstheme="minorEastAsia"/>
          <w:color w:val="000000"/>
          <w:sz w:val="32"/>
          <w:szCs w:val="32"/>
        </w:rPr>
        <w:instrText xml:space="preserve">  \* MERGEFORMAT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无创血糖仪</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的结构及组成；有创模块一般由主机、软件组成，与配套血糖试纸配合使用。</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36" w:name="_Toc112680015"/>
      <w:r>
        <w:rPr>
          <w:rFonts w:hint="eastAsia" w:asciiTheme="minorEastAsia" w:hAnsiTheme="minorEastAsia" w:eastAsiaTheme="minorEastAsia" w:cstheme="minorEastAsia"/>
          <w:color w:val="000000"/>
          <w:sz w:val="32"/>
          <w:szCs w:val="32"/>
        </w:rPr>
        <w:t>型号</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规格</w:t>
      </w:r>
      <w:bookmarkEnd w:id="36"/>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申请人应明确产品的型号，</w:t>
      </w:r>
      <w:r>
        <w:rPr>
          <w:rFonts w:hint="eastAsia" w:asciiTheme="minorEastAsia" w:hAnsiTheme="minorEastAsia" w:eastAsiaTheme="minorEastAsia" w:cstheme="minorEastAsia"/>
          <w:color w:val="000000"/>
          <w:sz w:val="32"/>
          <w:szCs w:val="32"/>
        </w:rPr>
        <w:t>描述产品的</w:t>
      </w:r>
      <w:r>
        <w:rPr>
          <w:rFonts w:hint="eastAsia" w:asciiTheme="minorEastAsia" w:hAnsiTheme="minorEastAsia" w:eastAsiaTheme="minorEastAsia" w:cstheme="minorEastAsia"/>
          <w:color w:val="000000"/>
          <w:sz w:val="32"/>
          <w:szCs w:val="32"/>
        </w:rPr>
        <w:t>规格，例如，</w:t>
      </w:r>
      <w:r>
        <w:rPr>
          <w:rFonts w:hint="eastAsia" w:asciiTheme="minorEastAsia" w:hAnsiTheme="minorEastAsia" w:eastAsiaTheme="minorEastAsia" w:cstheme="minorEastAsia"/>
          <w:color w:val="000000"/>
          <w:sz w:val="32"/>
          <w:szCs w:val="32"/>
        </w:rPr>
        <w:t>外观、物理尺寸、重量等。</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对于存在多种型号</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规格的无创血糖监测产品，</w:t>
      </w: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color w:val="000000"/>
          <w:sz w:val="32"/>
          <w:szCs w:val="32"/>
        </w:rPr>
        <w:t>应当明确各型号规格的区别</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应当采用对比表或带有说明性文字的图片、图表，描述各种型号规格的结构组成（或配置）、功能、产品特征和运行模式、技术参数等内容。</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37" w:name="_Toc112680016"/>
      <w:r>
        <w:rPr>
          <w:rFonts w:hint="eastAsia" w:asciiTheme="minorEastAsia" w:hAnsiTheme="minorEastAsia" w:eastAsiaTheme="minorEastAsia" w:cstheme="minorEastAsia"/>
          <w:color w:val="000000"/>
          <w:sz w:val="32"/>
          <w:szCs w:val="32"/>
        </w:rPr>
        <w:t>研发历程</w:t>
      </w:r>
      <w:bookmarkEnd w:id="37"/>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w:t>
      </w:r>
      <w:r>
        <w:rPr>
          <w:rFonts w:hint="eastAsia" w:asciiTheme="minorEastAsia" w:hAnsiTheme="minorEastAsia" w:eastAsiaTheme="minorEastAsia" w:cstheme="minorEastAsia"/>
          <w:bCs/>
          <w:color w:val="000000"/>
          <w:sz w:val="32"/>
          <w:szCs w:val="32"/>
        </w:rPr>
        <w:t>阐述无创血糖监测产品的研发背景和目的。如有参考的同类产品或前代产品，</w:t>
      </w:r>
      <w:r>
        <w:rPr>
          <w:rFonts w:hint="eastAsia" w:asciiTheme="minorEastAsia" w:hAnsiTheme="minorEastAsia" w:eastAsiaTheme="minorEastAsia" w:cstheme="minorEastAsia"/>
          <w:bCs/>
          <w:color w:val="000000"/>
          <w:sz w:val="32"/>
          <w:szCs w:val="32"/>
        </w:rPr>
        <w:t>申请人</w:t>
      </w:r>
      <w:r>
        <w:rPr>
          <w:rFonts w:hint="eastAsia" w:asciiTheme="minorEastAsia" w:hAnsiTheme="minorEastAsia" w:eastAsiaTheme="minorEastAsia" w:cstheme="minorEastAsia"/>
          <w:bCs/>
          <w:color w:val="000000"/>
          <w:sz w:val="32"/>
          <w:szCs w:val="32"/>
        </w:rPr>
        <w:t>应当提供同类产品或前代产品的信息，并说明选择其作为研发参考的原因。</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38" w:name="_Toc112680017"/>
      <w:r>
        <w:rPr>
          <w:rFonts w:hint="eastAsia" w:asciiTheme="minorEastAsia" w:hAnsiTheme="minorEastAsia" w:eastAsiaTheme="minorEastAsia" w:cstheme="minorEastAsia"/>
          <w:color w:val="000000"/>
          <w:sz w:val="32"/>
          <w:szCs w:val="32"/>
        </w:rPr>
        <w:t>与同类和/或前代产品的参考和比较</w:t>
      </w:r>
      <w:bookmarkEnd w:id="38"/>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w:t>
      </w:r>
      <w:r>
        <w:rPr>
          <w:rFonts w:hint="eastAsia" w:asciiTheme="minorEastAsia" w:hAnsiTheme="minorEastAsia" w:eastAsiaTheme="minorEastAsia" w:cstheme="minorEastAsia"/>
          <w:bCs/>
          <w:color w:val="000000"/>
          <w:sz w:val="32"/>
          <w:szCs w:val="32"/>
        </w:rPr>
        <w:t>列表比较说明申报产品与同类产品和/或前代产品在工作原理、结构组成、制造材料、性能指标、作用</w:t>
      </w:r>
      <w:r>
        <w:rPr>
          <w:rFonts w:hint="eastAsia" w:asciiTheme="minorEastAsia" w:hAnsiTheme="minorEastAsia" w:eastAsiaTheme="minorEastAsia" w:cstheme="minorEastAsia"/>
          <w:bCs/>
          <w:color w:val="000000"/>
          <w:sz w:val="32"/>
          <w:szCs w:val="32"/>
        </w:rPr>
        <w:t>在人体的</w:t>
      </w:r>
      <w:r>
        <w:rPr>
          <w:rFonts w:hint="eastAsia" w:asciiTheme="minorEastAsia" w:hAnsiTheme="minorEastAsia" w:eastAsiaTheme="minorEastAsia" w:cstheme="minorEastAsia"/>
          <w:bCs/>
          <w:color w:val="000000"/>
          <w:sz w:val="32"/>
          <w:szCs w:val="32"/>
        </w:rPr>
        <w:t>方式</w:t>
      </w:r>
      <w:r>
        <w:rPr>
          <w:rFonts w:hint="eastAsia" w:asciiTheme="minorEastAsia" w:hAnsiTheme="minorEastAsia" w:eastAsiaTheme="minorEastAsia" w:cstheme="minorEastAsia"/>
          <w:bCs/>
          <w:color w:val="000000"/>
          <w:sz w:val="32"/>
          <w:szCs w:val="32"/>
        </w:rPr>
        <w:t>、</w:t>
      </w:r>
      <w:r>
        <w:rPr>
          <w:rFonts w:hint="eastAsia" w:asciiTheme="minorEastAsia" w:hAnsiTheme="minorEastAsia" w:eastAsiaTheme="minorEastAsia" w:cstheme="minorEastAsia"/>
          <w:bCs/>
          <w:color w:val="000000"/>
          <w:sz w:val="32"/>
          <w:szCs w:val="32"/>
        </w:rPr>
        <w:t>适用范围等方面的异同。</w:t>
      </w:r>
    </w:p>
    <w:p>
      <w:pPr>
        <w:numPr>
          <w:ilvl w:val="0"/>
          <w:numId w:val="5"/>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39" w:name="_Ref111494533"/>
      <w:bookmarkStart w:id="40" w:name="_Toc112680018"/>
      <w:r>
        <w:rPr>
          <w:rFonts w:hint="eastAsia" w:asciiTheme="minorEastAsia" w:hAnsiTheme="minorEastAsia" w:eastAsiaTheme="minorEastAsia" w:cstheme="minorEastAsia"/>
          <w:color w:val="000000"/>
          <w:sz w:val="32"/>
          <w:szCs w:val="32"/>
        </w:rPr>
        <w:t>适用范围和禁忌证</w:t>
      </w:r>
      <w:bookmarkEnd w:id="39"/>
      <w:bookmarkEnd w:id="40"/>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41" w:name="_Ref113451158"/>
      <w:bookmarkStart w:id="42" w:name="_Toc112680019"/>
      <w:r>
        <w:rPr>
          <w:rFonts w:hint="eastAsia" w:asciiTheme="minorEastAsia" w:hAnsiTheme="minorEastAsia" w:eastAsiaTheme="minorEastAsia" w:cstheme="minorEastAsia"/>
          <w:color w:val="000000"/>
          <w:sz w:val="32"/>
          <w:szCs w:val="32"/>
        </w:rPr>
        <w:t>适用范围</w:t>
      </w:r>
      <w:bookmarkEnd w:id="41"/>
      <w:bookmarkEnd w:id="42"/>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bookmarkStart w:id="43" w:name="_Ref112669671"/>
      <w:r>
        <w:rPr>
          <w:rFonts w:hint="eastAsia" w:asciiTheme="minorEastAsia" w:hAnsiTheme="minorEastAsia" w:eastAsiaTheme="minorEastAsia" w:cstheme="minorEastAsia"/>
          <w:color w:val="000000"/>
          <w:sz w:val="32"/>
          <w:szCs w:val="32"/>
        </w:rPr>
        <w:t>检测参数</w:t>
      </w:r>
      <w:bookmarkEnd w:id="43"/>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葡萄糖作为</w:t>
      </w:r>
      <w:r>
        <w:rPr>
          <w:rFonts w:hint="eastAsia" w:asciiTheme="minorEastAsia" w:hAnsiTheme="minorEastAsia" w:eastAsiaTheme="minorEastAsia" w:cstheme="minorEastAsia"/>
          <w:bCs/>
          <w:color w:val="000000"/>
          <w:sz w:val="32"/>
          <w:szCs w:val="32"/>
        </w:rPr>
        <w:t>人体的</w:t>
      </w:r>
      <w:r>
        <w:rPr>
          <w:rFonts w:hint="eastAsia" w:asciiTheme="minorEastAsia" w:hAnsiTheme="minorEastAsia" w:eastAsiaTheme="minorEastAsia" w:cstheme="minorEastAsia"/>
          <w:bCs/>
          <w:color w:val="000000"/>
          <w:sz w:val="32"/>
          <w:szCs w:val="32"/>
        </w:rPr>
        <w:t>主要能源物质，在氧供应充足的情况下，通过葡萄糖的有氧氧化</w:t>
      </w:r>
      <w:r>
        <w:rPr>
          <w:rFonts w:hint="eastAsia" w:asciiTheme="minorEastAsia" w:hAnsiTheme="minorEastAsia" w:eastAsiaTheme="minorEastAsia" w:cstheme="minorEastAsia"/>
          <w:bCs/>
          <w:color w:val="000000"/>
          <w:sz w:val="32"/>
          <w:szCs w:val="32"/>
        </w:rPr>
        <w:t>为</w:t>
      </w:r>
      <w:r>
        <w:rPr>
          <w:rFonts w:hint="eastAsia" w:asciiTheme="minorEastAsia" w:hAnsiTheme="minorEastAsia" w:eastAsiaTheme="minorEastAsia" w:cstheme="minorEastAsia"/>
          <w:bCs/>
          <w:color w:val="000000"/>
          <w:sz w:val="32"/>
          <w:szCs w:val="32"/>
        </w:rPr>
        <w:t>绝大多数组织细胞</w:t>
      </w:r>
      <w:r>
        <w:rPr>
          <w:rFonts w:hint="eastAsia" w:asciiTheme="minorEastAsia" w:hAnsiTheme="minorEastAsia" w:eastAsiaTheme="minorEastAsia" w:cstheme="minorEastAsia"/>
          <w:bCs/>
          <w:color w:val="000000"/>
          <w:sz w:val="32"/>
          <w:szCs w:val="32"/>
        </w:rPr>
        <w:t>提供</w:t>
      </w:r>
      <w:r>
        <w:rPr>
          <w:rFonts w:hint="eastAsia" w:asciiTheme="minorEastAsia" w:hAnsiTheme="minorEastAsia" w:eastAsiaTheme="minorEastAsia" w:cstheme="minorEastAsia"/>
          <w:bCs/>
          <w:color w:val="000000"/>
          <w:sz w:val="32"/>
          <w:szCs w:val="32"/>
        </w:rPr>
        <w:t>能量</w:t>
      </w:r>
      <w:r>
        <w:rPr>
          <w:rFonts w:hint="eastAsia" w:asciiTheme="minorEastAsia" w:hAnsiTheme="minorEastAsia" w:eastAsiaTheme="minorEastAsia" w:cstheme="minorEastAsia"/>
          <w:bCs/>
          <w:color w:val="000000"/>
          <w:sz w:val="32"/>
          <w:szCs w:val="32"/>
        </w:rPr>
        <w:t>。</w:t>
      </w:r>
      <w:r>
        <w:rPr>
          <w:rFonts w:hint="eastAsia" w:asciiTheme="minorEastAsia" w:hAnsiTheme="minorEastAsia" w:eastAsiaTheme="minorEastAsia" w:cstheme="minorEastAsia"/>
          <w:bCs/>
          <w:color w:val="000000"/>
          <w:sz w:val="32"/>
          <w:szCs w:val="32"/>
        </w:rPr>
        <w:t>通过</w:t>
      </w:r>
      <w:r>
        <w:rPr>
          <w:rFonts w:hint="eastAsia" w:asciiTheme="minorEastAsia" w:hAnsiTheme="minorEastAsia" w:eastAsiaTheme="minorEastAsia" w:cstheme="minorEastAsia"/>
          <w:bCs/>
          <w:color w:val="000000"/>
          <w:sz w:val="32"/>
          <w:szCs w:val="32"/>
        </w:rPr>
        <w:t>检测</w:t>
      </w:r>
      <w:r>
        <w:rPr>
          <w:rFonts w:hint="eastAsia" w:asciiTheme="minorEastAsia" w:hAnsiTheme="minorEastAsia" w:eastAsiaTheme="minorEastAsia" w:cstheme="minorEastAsia"/>
          <w:bCs/>
          <w:color w:val="000000"/>
          <w:sz w:val="32"/>
          <w:szCs w:val="32"/>
        </w:rPr>
        <w:t>局部组织</w:t>
      </w:r>
      <w:r>
        <w:rPr>
          <w:rFonts w:hint="eastAsia" w:asciiTheme="minorEastAsia" w:hAnsiTheme="minorEastAsia" w:eastAsiaTheme="minorEastAsia" w:cstheme="minorEastAsia"/>
          <w:bCs/>
          <w:color w:val="000000"/>
          <w:sz w:val="32"/>
          <w:szCs w:val="32"/>
        </w:rPr>
        <w:t>生理代谢情况，进而</w:t>
      </w:r>
      <w:r>
        <w:rPr>
          <w:rFonts w:hint="eastAsia" w:asciiTheme="minorEastAsia" w:hAnsiTheme="minorEastAsia" w:eastAsiaTheme="minorEastAsia" w:cstheme="minorEastAsia"/>
          <w:bCs/>
          <w:color w:val="000000"/>
          <w:sz w:val="32"/>
          <w:szCs w:val="32"/>
        </w:rPr>
        <w:t>估计葡萄糖</w:t>
      </w:r>
      <w:r>
        <w:rPr>
          <w:rFonts w:hint="eastAsia" w:asciiTheme="minorEastAsia" w:hAnsiTheme="minorEastAsia" w:eastAsiaTheme="minorEastAsia" w:cstheme="minorEastAsia"/>
          <w:bCs/>
          <w:color w:val="000000"/>
          <w:sz w:val="32"/>
          <w:szCs w:val="32"/>
        </w:rPr>
        <w:t>浓度以获得人体血糖值。</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color w:val="000000"/>
          <w:sz w:val="32"/>
          <w:szCs w:val="32"/>
        </w:rPr>
        <w:t>申请人</w:t>
      </w:r>
      <w:r>
        <w:rPr>
          <w:rFonts w:hint="eastAsia" w:asciiTheme="minorEastAsia" w:hAnsiTheme="minorEastAsia" w:eastAsiaTheme="minorEastAsia" w:cstheme="minorEastAsia"/>
          <w:bCs/>
          <w:color w:val="000000"/>
          <w:sz w:val="32"/>
          <w:szCs w:val="32"/>
        </w:rPr>
        <w:t>应</w:t>
      </w:r>
      <w:r>
        <w:rPr>
          <w:rFonts w:hint="eastAsia" w:asciiTheme="minorEastAsia" w:hAnsiTheme="minorEastAsia" w:eastAsiaTheme="minorEastAsia" w:cstheme="minorEastAsia"/>
          <w:bCs/>
          <w:color w:val="000000"/>
          <w:sz w:val="32"/>
          <w:szCs w:val="32"/>
        </w:rPr>
        <w:t>明确</w:t>
      </w:r>
      <w:r>
        <w:rPr>
          <w:rFonts w:hint="eastAsia" w:asciiTheme="minorEastAsia" w:hAnsiTheme="minorEastAsia" w:eastAsiaTheme="minorEastAsia" w:cstheme="minorEastAsia"/>
          <w:sz w:val="32"/>
          <w:szCs w:val="32"/>
        </w:rPr>
        <w:t>无创血糖监测产品的检测参数，例如，无创血糖监测产品估算人体内葡萄糖浓度，给出的葡萄糖浓度可以是末梢全血葡萄糖浓度，也可以校准为血浆葡萄糖浓度。无创血糖监测产品既可以提供</w:t>
      </w:r>
      <w:r>
        <w:rPr>
          <w:rFonts w:hint="eastAsia" w:asciiTheme="minorEastAsia" w:hAnsiTheme="minorEastAsia" w:eastAsiaTheme="minorEastAsia" w:cstheme="minorEastAsia"/>
          <w:sz w:val="32"/>
          <w:szCs w:val="32"/>
        </w:rPr>
        <w:t>毛细血管血糖</w:t>
      </w:r>
      <w:r>
        <w:rPr>
          <w:rFonts w:hint="eastAsia" w:asciiTheme="minorEastAsia" w:hAnsiTheme="minorEastAsia" w:eastAsiaTheme="minorEastAsia" w:cstheme="minorEastAsia"/>
          <w:sz w:val="32"/>
          <w:szCs w:val="32"/>
        </w:rPr>
        <w:t>值，</w:t>
      </w:r>
      <w:r>
        <w:rPr>
          <w:rFonts w:hint="eastAsia" w:asciiTheme="minorEastAsia" w:hAnsiTheme="minorEastAsia" w:eastAsiaTheme="minorEastAsia" w:cstheme="minorEastAsia"/>
          <w:sz w:val="32"/>
          <w:szCs w:val="32"/>
        </w:rPr>
        <w:t>又可以提供糖化血红蛋白(HbA</w:t>
      </w:r>
      <w:r>
        <w:rPr>
          <w:rFonts w:hint="eastAsia" w:asciiTheme="minorEastAsia" w:hAnsiTheme="minorEastAsia" w:eastAsiaTheme="minorEastAsia" w:cstheme="minorEastAsia"/>
          <w:sz w:val="32"/>
          <w:szCs w:val="32"/>
          <w:vertAlign w:val="subscript"/>
        </w:rPr>
        <w:t>1c</w:t>
      </w:r>
      <w:r>
        <w:rPr>
          <w:rFonts w:hint="eastAsia" w:asciiTheme="minorEastAsia" w:hAnsiTheme="minorEastAsia" w:eastAsiaTheme="minorEastAsia" w:cstheme="minorEastAsia"/>
          <w:sz w:val="32"/>
          <w:szCs w:val="32"/>
        </w:rPr>
        <w:t>)值等。</w:t>
      </w:r>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bookmarkStart w:id="44" w:name="_Ref112669887"/>
      <w:r>
        <w:rPr>
          <w:rFonts w:hint="eastAsia" w:asciiTheme="minorEastAsia" w:hAnsiTheme="minorEastAsia" w:eastAsiaTheme="minorEastAsia" w:cstheme="minorEastAsia"/>
          <w:color w:val="000000"/>
          <w:sz w:val="32"/>
          <w:szCs w:val="32"/>
        </w:rPr>
        <w:t>预期用途</w:t>
      </w:r>
      <w:bookmarkEnd w:id="44"/>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申请人应明确无创血糖监测产品的预期用途，例如，无创血糖监测产品既可以预期用</w:t>
      </w:r>
      <w:r>
        <w:rPr>
          <w:rFonts w:hint="eastAsia" w:asciiTheme="minorEastAsia" w:hAnsiTheme="minorEastAsia" w:eastAsiaTheme="minorEastAsia" w:cstheme="minorEastAsia"/>
          <w:sz w:val="32"/>
          <w:szCs w:val="32"/>
        </w:rPr>
        <w:t>于毛细血管血糖监测，包括用于患者自我血糖监测(Self</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Monitoring of Blood Glucose, SMBG)、用于在医院内进行的即时检测(Point</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Of</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Care Testing, POCT)。</w:t>
      </w:r>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bookmarkStart w:id="45" w:name="_Ref112669111"/>
      <w:r>
        <w:rPr>
          <w:rFonts w:hint="eastAsia" w:asciiTheme="minorEastAsia" w:hAnsiTheme="minorEastAsia" w:eastAsiaTheme="minorEastAsia" w:cstheme="minorEastAsia"/>
          <w:color w:val="000000"/>
          <w:sz w:val="32"/>
          <w:szCs w:val="32"/>
        </w:rPr>
        <w:t>适用人群</w:t>
      </w:r>
      <w:bookmarkEnd w:id="45"/>
      <w:r>
        <w:rPr>
          <w:rFonts w:hint="eastAsia" w:asciiTheme="minorEastAsia" w:hAnsiTheme="minorEastAsia" w:eastAsiaTheme="minorEastAsia" w:cstheme="minorEastAsia"/>
          <w:color w:val="000000"/>
          <w:sz w:val="32"/>
          <w:szCs w:val="32"/>
        </w:rPr>
        <w:t>和适应证</w:t>
      </w:r>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申请人应明确目标患者人群、预期监测特定人群的信息，或者提供无预期监测特定人群的声明，例如，新生儿、小儿（含</w:t>
      </w:r>
      <w:r>
        <w:rPr>
          <w:rFonts w:hint="eastAsia" w:asciiTheme="minorEastAsia" w:hAnsiTheme="minorEastAsia" w:eastAsiaTheme="minorEastAsia" w:cstheme="minorEastAsia"/>
          <w:bCs/>
          <w:color w:val="000000"/>
          <w:sz w:val="32"/>
          <w:szCs w:val="32"/>
        </w:rPr>
        <w:t>婴儿）、成人，孕妇，健康人群、糖调节受损（</w:t>
      </w:r>
      <w:r>
        <w:rPr>
          <w:rFonts w:hint="eastAsia" w:asciiTheme="minorEastAsia" w:hAnsiTheme="minorEastAsia" w:eastAsiaTheme="minorEastAsia" w:cstheme="minorEastAsia"/>
          <w:sz w:val="32"/>
          <w:szCs w:val="32"/>
        </w:rPr>
        <w:t>空腹血糖受损impaired fasting glucose, IFG</w:t>
      </w:r>
      <w:r>
        <w:rPr>
          <w:rFonts w:hint="eastAsia" w:asciiTheme="minorEastAsia" w:hAnsiTheme="minorEastAsia" w:eastAsiaTheme="minorEastAsia" w:cstheme="minorEastAsia"/>
          <w:bCs/>
          <w:color w:val="000000"/>
          <w:sz w:val="32"/>
          <w:szCs w:val="32"/>
        </w:rPr>
        <w:t>和</w:t>
      </w:r>
      <w:r>
        <w:rPr>
          <w:rFonts w:hint="eastAsia" w:asciiTheme="minorEastAsia" w:hAnsiTheme="minorEastAsia" w:eastAsiaTheme="minorEastAsia" w:cstheme="minorEastAsia"/>
          <w:sz w:val="32"/>
          <w:szCs w:val="32"/>
        </w:rPr>
        <w:t>糖耐量减低impaired glucose tolerance</w:t>
      </w:r>
      <w:r>
        <w:rPr>
          <w:rFonts w:hint="eastAsia" w:asciiTheme="minorEastAsia" w:hAnsiTheme="minorEastAsia" w:eastAsiaTheme="minorEastAsia" w:cstheme="minorEastAsia"/>
          <w:bCs/>
          <w:color w:val="000000"/>
          <w:sz w:val="32"/>
          <w:szCs w:val="32"/>
        </w:rPr>
        <w:t>, IGT）人群、2型糖尿病患者。</w:t>
      </w:r>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bookmarkStart w:id="46" w:name="_Ref112669049"/>
      <w:r>
        <w:rPr>
          <w:rFonts w:hint="eastAsia" w:asciiTheme="minorEastAsia" w:hAnsiTheme="minorEastAsia" w:eastAsiaTheme="minorEastAsia" w:cstheme="minorEastAsia"/>
          <w:color w:val="000000"/>
          <w:sz w:val="32"/>
          <w:szCs w:val="32"/>
        </w:rPr>
        <w:t>预期使用环境</w:t>
      </w:r>
      <w:bookmarkEnd w:id="46"/>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申请人应明确</w:t>
      </w:r>
      <w:r>
        <w:rPr>
          <w:rFonts w:hint="eastAsia" w:asciiTheme="minorEastAsia" w:hAnsiTheme="minorEastAsia" w:eastAsiaTheme="minorEastAsia" w:cstheme="minorEastAsia"/>
          <w:bCs/>
          <w:color w:val="000000"/>
          <w:sz w:val="32"/>
          <w:szCs w:val="32"/>
        </w:rPr>
        <w:t>产品预期使用的地点，</w:t>
      </w:r>
      <w:r>
        <w:rPr>
          <w:rFonts w:hint="eastAsia" w:asciiTheme="minorEastAsia" w:hAnsiTheme="minorEastAsia" w:eastAsiaTheme="minorEastAsia" w:cstheme="minorEastAsia"/>
          <w:bCs/>
          <w:color w:val="000000"/>
          <w:sz w:val="32"/>
          <w:szCs w:val="32"/>
        </w:rPr>
        <w:t>例如，</w:t>
      </w:r>
      <w:r>
        <w:rPr>
          <w:rFonts w:hint="eastAsia" w:asciiTheme="minorEastAsia" w:hAnsiTheme="minorEastAsia" w:eastAsiaTheme="minorEastAsia" w:cstheme="minorEastAsia"/>
          <w:sz w:val="32"/>
          <w:szCs w:val="32"/>
        </w:rPr>
        <w:t>从事糖尿病诊疗活动的医院、卫生院、疗养院、门诊部、诊所、卫生所（室）、急救站等医疗机构，院前的</w:t>
      </w:r>
      <w:r>
        <w:rPr>
          <w:rFonts w:hint="eastAsia" w:asciiTheme="minorEastAsia" w:hAnsiTheme="minorEastAsia" w:eastAsiaTheme="minorEastAsia" w:cstheme="minorEastAsia"/>
          <w:bCs/>
          <w:color w:val="000000"/>
          <w:sz w:val="32"/>
          <w:szCs w:val="32"/>
        </w:rPr>
        <w:t>救护车</w:t>
      </w:r>
      <w:r>
        <w:rPr>
          <w:rFonts w:hint="eastAsia" w:asciiTheme="minorEastAsia" w:hAnsiTheme="minorEastAsia" w:eastAsiaTheme="minorEastAsia" w:cstheme="minorEastAsia"/>
          <w:sz w:val="32"/>
          <w:szCs w:val="32"/>
        </w:rPr>
        <w:t>，办公场所、机场/火车站、学校等</w:t>
      </w:r>
      <w:r>
        <w:rPr>
          <w:rFonts w:hint="eastAsia" w:asciiTheme="minorEastAsia" w:hAnsiTheme="minorEastAsia" w:eastAsiaTheme="minorEastAsia" w:cstheme="minorEastAsia"/>
          <w:sz w:val="32"/>
          <w:szCs w:val="32"/>
        </w:rPr>
        <w:t>公共场所，</w:t>
      </w:r>
      <w:r>
        <w:rPr>
          <w:rFonts w:hint="eastAsia" w:asciiTheme="minorEastAsia" w:hAnsiTheme="minorEastAsia" w:eastAsiaTheme="minorEastAsia" w:cstheme="minorEastAsia"/>
          <w:sz w:val="32"/>
          <w:szCs w:val="32"/>
        </w:rPr>
        <w:t>生活社区、家庭。</w:t>
      </w:r>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申请人应明确产品预期使用的环境条件，而且应重点关注</w:t>
      </w:r>
      <w:r>
        <w:rPr>
          <w:rFonts w:hint="eastAsia" w:asciiTheme="minorEastAsia" w:hAnsiTheme="minorEastAsia" w:eastAsiaTheme="minorEastAsia" w:cstheme="minorEastAsia"/>
          <w:bCs/>
          <w:color w:val="000000"/>
          <w:sz w:val="32"/>
          <w:szCs w:val="32"/>
        </w:rPr>
        <w:t>可能影响</w:t>
      </w:r>
      <w:r>
        <w:rPr>
          <w:rFonts w:hint="eastAsia" w:asciiTheme="minorEastAsia" w:hAnsiTheme="minorEastAsia" w:eastAsiaTheme="minorEastAsia" w:cstheme="minorEastAsia"/>
          <w:bCs/>
          <w:color w:val="000000"/>
          <w:sz w:val="32"/>
          <w:szCs w:val="32"/>
        </w:rPr>
        <w:t>产品</w:t>
      </w:r>
      <w:r>
        <w:rPr>
          <w:rFonts w:hint="eastAsia" w:asciiTheme="minorEastAsia" w:hAnsiTheme="minorEastAsia" w:eastAsiaTheme="minorEastAsia" w:cstheme="minorEastAsia"/>
          <w:bCs/>
          <w:color w:val="000000"/>
          <w:sz w:val="32"/>
          <w:szCs w:val="32"/>
        </w:rPr>
        <w:t>安全性和有效性的环境条件，如温度、湿度、压力、移动、振动、海拔等。</w:t>
      </w:r>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对使用者/操作者要求</w:t>
      </w:r>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w:t>
      </w:r>
      <w:r>
        <w:rPr>
          <w:rFonts w:hint="eastAsia" w:asciiTheme="minorEastAsia" w:hAnsiTheme="minorEastAsia" w:eastAsiaTheme="minorEastAsia" w:cstheme="minorEastAsia"/>
          <w:bCs/>
          <w:color w:val="000000"/>
          <w:sz w:val="32"/>
          <w:szCs w:val="32"/>
        </w:rPr>
        <w:t>明确目标用户及其操作或使用无创血糖监测产品应当具备的技能/知识/培训。</w:t>
      </w:r>
    </w:p>
    <w:p>
      <w:pPr>
        <w:numPr>
          <w:ilvl w:val="2"/>
          <w:numId w:val="5"/>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其他内容</w:t>
      </w:r>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申请人应</w:t>
      </w:r>
      <w:r>
        <w:rPr>
          <w:rFonts w:hint="eastAsia" w:asciiTheme="minorEastAsia" w:hAnsiTheme="minorEastAsia" w:eastAsiaTheme="minorEastAsia" w:cstheme="minorEastAsia"/>
          <w:bCs/>
          <w:color w:val="000000"/>
          <w:sz w:val="32"/>
          <w:szCs w:val="32"/>
        </w:rPr>
        <w:t>说明与其组合使用实现预期用途的其他产品</w:t>
      </w:r>
      <w:r>
        <w:rPr>
          <w:rFonts w:hint="eastAsia" w:asciiTheme="minorEastAsia" w:hAnsiTheme="minorEastAsia" w:eastAsiaTheme="minorEastAsia" w:cstheme="minorEastAsia"/>
          <w:bCs/>
          <w:color w:val="000000"/>
          <w:sz w:val="32"/>
          <w:szCs w:val="32"/>
        </w:rPr>
        <w:t>，例如，</w:t>
      </w:r>
      <w:r>
        <w:rPr>
          <w:rFonts w:hint="eastAsia" w:asciiTheme="minorEastAsia" w:hAnsiTheme="minorEastAsia" w:eastAsiaTheme="minorEastAsia" w:cstheme="minorEastAsia"/>
          <w:sz w:val="32"/>
          <w:szCs w:val="32"/>
        </w:rPr>
        <w:t>用于无创血糖监测校准的有创血糖仪的医疗器械注册证编号等；</w:t>
      </w:r>
      <w:r>
        <w:rPr>
          <w:rFonts w:hint="eastAsia" w:asciiTheme="minorEastAsia" w:hAnsiTheme="minorEastAsia" w:eastAsiaTheme="minorEastAsia" w:cstheme="minorEastAsia"/>
          <w:bCs/>
          <w:color w:val="000000"/>
          <w:sz w:val="32"/>
          <w:szCs w:val="32"/>
        </w:rPr>
        <w:t>组合血糖仪</w:t>
      </w:r>
      <w:r>
        <w:rPr>
          <w:rFonts w:hint="eastAsia" w:asciiTheme="minorEastAsia" w:hAnsiTheme="minorEastAsia" w:eastAsiaTheme="minorEastAsia" w:cstheme="minorEastAsia"/>
          <w:color w:val="000000"/>
          <w:sz w:val="32"/>
          <w:szCs w:val="32"/>
        </w:rPr>
        <w:t>配合使用的配套血糖试纸、</w:t>
      </w:r>
      <w:r>
        <w:rPr>
          <w:rFonts w:hint="eastAsia" w:asciiTheme="minorEastAsia" w:hAnsiTheme="minorEastAsia" w:eastAsiaTheme="minorEastAsia" w:cstheme="minorEastAsia"/>
          <w:bCs/>
          <w:color w:val="000000"/>
          <w:sz w:val="32"/>
          <w:szCs w:val="32"/>
        </w:rPr>
        <w:t>采血笔、笔帽等。</w:t>
      </w:r>
    </w:p>
    <w:p>
      <w:pPr>
        <w:numPr>
          <w:ilvl w:val="1"/>
          <w:numId w:val="5"/>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47" w:name="_Toc112680020"/>
      <w:r>
        <w:rPr>
          <w:rFonts w:hint="eastAsia" w:asciiTheme="minorEastAsia" w:hAnsiTheme="minorEastAsia" w:eastAsiaTheme="minorEastAsia" w:cstheme="minorEastAsia"/>
          <w:color w:val="000000"/>
          <w:sz w:val="32"/>
          <w:szCs w:val="32"/>
        </w:rPr>
        <w:t>禁忌证</w:t>
      </w:r>
      <w:bookmarkEnd w:id="47"/>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通过风险/受益评估后，针对某些疾病、情况或特定的人群（如儿童、老年人、孕妇及哺乳期妇女、肝肾功能不全者），认为不推荐使用无创血糖监测产品，</w:t>
      </w:r>
      <w:r>
        <w:rPr>
          <w:rFonts w:hint="eastAsia" w:asciiTheme="minorEastAsia" w:hAnsiTheme="minorEastAsia" w:eastAsiaTheme="minorEastAsia" w:cstheme="minorEastAsia"/>
          <w:bCs/>
          <w:color w:val="000000"/>
          <w:sz w:val="32"/>
          <w:szCs w:val="32"/>
        </w:rPr>
        <w:t>申请人</w:t>
      </w:r>
      <w:r>
        <w:rPr>
          <w:rFonts w:hint="eastAsia" w:asciiTheme="minorEastAsia" w:hAnsiTheme="minorEastAsia" w:eastAsiaTheme="minorEastAsia" w:cstheme="minorEastAsia"/>
          <w:bCs/>
          <w:color w:val="000000"/>
          <w:sz w:val="32"/>
          <w:szCs w:val="32"/>
        </w:rPr>
        <w:t>应明确说明。</w:t>
      </w:r>
    </w:p>
    <w:p>
      <w:pPr>
        <w:numPr>
          <w:ilvl w:val="0"/>
          <w:numId w:val="5"/>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48" w:name="_Toc112680022"/>
      <w:r>
        <w:rPr>
          <w:rFonts w:hint="eastAsia" w:asciiTheme="minorEastAsia" w:hAnsiTheme="minorEastAsia" w:eastAsiaTheme="minorEastAsia" w:cstheme="minorEastAsia"/>
          <w:color w:val="000000"/>
          <w:sz w:val="32"/>
          <w:szCs w:val="32"/>
        </w:rPr>
        <w:t>申报产品上市历史</w:t>
      </w:r>
      <w:bookmarkEnd w:id="48"/>
    </w:p>
    <w:p>
      <w:pPr>
        <w:spacing w:line="520" w:lineRule="exact"/>
        <w:ind w:firstLine="640" w:firstLineChars="200"/>
        <w:rPr>
          <w:rFonts w:hint="eastAsia" w:asciiTheme="minorEastAsia" w:hAnsiTheme="minorEastAsia" w:eastAsiaTheme="minorEastAsia" w:cstheme="minorEastAsia"/>
          <w:bCs/>
          <w:sz w:val="32"/>
          <w:szCs w:val="32"/>
          <w:lang w:val="en-CA"/>
        </w:rPr>
      </w:pPr>
      <w:r>
        <w:rPr>
          <w:rFonts w:hint="eastAsia" w:asciiTheme="minorEastAsia" w:hAnsiTheme="minorEastAsia" w:eastAsiaTheme="minorEastAsia" w:cstheme="minorEastAsia"/>
          <w:bCs/>
          <w:sz w:val="32"/>
          <w:szCs w:val="32"/>
          <w:lang w:val="en-CA"/>
        </w:rPr>
        <w:t>如适用，</w:t>
      </w:r>
      <w:r>
        <w:rPr>
          <w:rFonts w:hint="eastAsia" w:asciiTheme="minorEastAsia" w:hAnsiTheme="minorEastAsia" w:eastAsiaTheme="minorEastAsia" w:cstheme="minorEastAsia"/>
          <w:bCs/>
          <w:sz w:val="32"/>
          <w:szCs w:val="32"/>
          <w:lang w:val="en-CA"/>
        </w:rPr>
        <w:t>按照《关于公布医疗器械注册申报资料要求和批准证明文件格式的公告》附件5《医疗器械注册申报资料要求及说明》，申请人应提供</w:t>
      </w:r>
      <w:r>
        <w:rPr>
          <w:rFonts w:hint="eastAsia" w:asciiTheme="minorEastAsia" w:hAnsiTheme="minorEastAsia" w:eastAsiaTheme="minorEastAsia" w:cstheme="minorEastAsia"/>
          <w:bCs/>
          <w:sz w:val="32"/>
          <w:szCs w:val="32"/>
          <w:lang w:val="en-CA"/>
        </w:rPr>
        <w:t>无创血糖监测产品</w:t>
      </w:r>
      <w:r>
        <w:rPr>
          <w:rFonts w:hint="eastAsia" w:asciiTheme="minorEastAsia" w:hAnsiTheme="minorEastAsia" w:eastAsiaTheme="minorEastAsia" w:cstheme="minorEastAsia"/>
          <w:bCs/>
          <w:sz w:val="32"/>
          <w:szCs w:val="32"/>
          <w:lang w:val="en-CA"/>
        </w:rPr>
        <w:t>的</w:t>
      </w:r>
      <w:r>
        <w:rPr>
          <w:rFonts w:hint="eastAsia" w:asciiTheme="minorEastAsia" w:hAnsiTheme="minorEastAsia" w:eastAsiaTheme="minorEastAsia" w:cstheme="minorEastAsia"/>
          <w:bCs/>
          <w:sz w:val="32"/>
          <w:szCs w:val="32"/>
          <w:lang w:val="en-CA"/>
        </w:rPr>
        <w:t>上市历史资料</w:t>
      </w:r>
      <w:r>
        <w:rPr>
          <w:rFonts w:hint="eastAsia" w:asciiTheme="minorEastAsia" w:hAnsiTheme="minorEastAsia" w:eastAsiaTheme="minorEastAsia" w:cstheme="minorEastAsia"/>
          <w:bCs/>
          <w:sz w:val="32"/>
          <w:szCs w:val="32"/>
          <w:lang w:val="en-CA"/>
        </w:rPr>
        <w:t>，包括</w:t>
      </w:r>
      <w:r>
        <w:rPr>
          <w:rFonts w:hint="eastAsia" w:asciiTheme="minorEastAsia" w:hAnsiTheme="minorEastAsia" w:eastAsiaTheme="minorEastAsia" w:cstheme="minorEastAsia"/>
          <w:bCs/>
          <w:sz w:val="32"/>
          <w:szCs w:val="32"/>
          <w:lang w:val="en-CA"/>
        </w:rPr>
        <w:t>上市情况</w:t>
      </w:r>
      <w:r>
        <w:rPr>
          <w:rFonts w:hint="eastAsia" w:asciiTheme="minorEastAsia" w:hAnsiTheme="minorEastAsia" w:eastAsiaTheme="minorEastAsia" w:cstheme="minorEastAsia"/>
          <w:bCs/>
          <w:sz w:val="32"/>
          <w:szCs w:val="32"/>
          <w:lang w:val="en-CA"/>
        </w:rPr>
        <w:t>，</w:t>
      </w:r>
      <w:r>
        <w:rPr>
          <w:rFonts w:hint="eastAsia" w:asciiTheme="minorEastAsia" w:hAnsiTheme="minorEastAsia" w:eastAsiaTheme="minorEastAsia" w:cstheme="minorEastAsia"/>
          <w:bCs/>
          <w:sz w:val="32"/>
          <w:szCs w:val="32"/>
          <w:lang w:val="en-CA"/>
        </w:rPr>
        <w:t>不良事件和召回</w:t>
      </w:r>
      <w:r>
        <w:rPr>
          <w:rFonts w:hint="eastAsia" w:asciiTheme="minorEastAsia" w:hAnsiTheme="minorEastAsia" w:eastAsiaTheme="minorEastAsia" w:cstheme="minorEastAsia"/>
          <w:bCs/>
          <w:sz w:val="32"/>
          <w:szCs w:val="32"/>
          <w:lang w:val="en-CA"/>
        </w:rPr>
        <w:t>（含</w:t>
      </w:r>
      <w:r>
        <w:rPr>
          <w:rFonts w:hint="eastAsia" w:asciiTheme="minorEastAsia" w:hAnsiTheme="minorEastAsia" w:eastAsiaTheme="minorEastAsia" w:cstheme="minorEastAsia"/>
          <w:bCs/>
          <w:sz w:val="32"/>
          <w:szCs w:val="32"/>
          <w:lang w:val="en-CA"/>
        </w:rPr>
        <w:t>分析评价</w:t>
      </w:r>
      <w:r>
        <w:rPr>
          <w:rFonts w:hint="eastAsia" w:asciiTheme="minorEastAsia" w:hAnsiTheme="minorEastAsia" w:eastAsiaTheme="minorEastAsia" w:cstheme="minorEastAsia"/>
          <w:bCs/>
          <w:sz w:val="32"/>
          <w:szCs w:val="32"/>
          <w:lang w:val="en-CA"/>
        </w:rPr>
        <w:t>），</w:t>
      </w:r>
      <w:r>
        <w:rPr>
          <w:rFonts w:hint="eastAsia" w:asciiTheme="minorEastAsia" w:hAnsiTheme="minorEastAsia" w:eastAsiaTheme="minorEastAsia" w:cstheme="minorEastAsia"/>
          <w:bCs/>
          <w:sz w:val="32"/>
          <w:szCs w:val="32"/>
          <w:lang w:val="en-CA"/>
        </w:rPr>
        <w:t>销售、不良事件及召回率</w:t>
      </w:r>
      <w:r>
        <w:rPr>
          <w:rFonts w:hint="eastAsia" w:asciiTheme="minorEastAsia" w:hAnsiTheme="minorEastAsia" w:eastAsiaTheme="minorEastAsia" w:cstheme="minorEastAsia"/>
          <w:bCs/>
          <w:sz w:val="32"/>
          <w:szCs w:val="32"/>
          <w:lang w:val="en-CA"/>
        </w:rPr>
        <w:t>。</w:t>
      </w:r>
    </w:p>
    <w:p>
      <w:pPr>
        <w:numPr>
          <w:ilvl w:val="0"/>
          <w:numId w:val="5"/>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49" w:name="_Toc112680023"/>
      <w:r>
        <w:rPr>
          <w:rFonts w:hint="eastAsia" w:asciiTheme="minorEastAsia" w:hAnsiTheme="minorEastAsia" w:eastAsiaTheme="minorEastAsia" w:cstheme="minorEastAsia"/>
          <w:color w:val="000000"/>
          <w:sz w:val="32"/>
          <w:szCs w:val="32"/>
        </w:rPr>
        <w:t>其他需说明的内容</w:t>
      </w:r>
      <w:bookmarkEnd w:id="49"/>
    </w:p>
    <w:p>
      <w:pPr>
        <w:spacing w:line="520" w:lineRule="exact"/>
        <w:ind w:firstLine="64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如适用，</w:t>
      </w:r>
      <w:r>
        <w:rPr>
          <w:rFonts w:hint="eastAsia" w:asciiTheme="minorEastAsia" w:hAnsiTheme="minorEastAsia" w:eastAsiaTheme="minorEastAsia" w:cstheme="minorEastAsia"/>
          <w:bCs/>
          <w:color w:val="000000"/>
          <w:sz w:val="32"/>
          <w:szCs w:val="32"/>
        </w:rPr>
        <w:t>申请人应</w:t>
      </w:r>
      <w:r>
        <w:rPr>
          <w:rFonts w:hint="eastAsia" w:asciiTheme="minorEastAsia" w:hAnsiTheme="minorEastAsia" w:eastAsiaTheme="minorEastAsia" w:cstheme="minorEastAsia"/>
          <w:bCs/>
          <w:color w:val="000000"/>
          <w:sz w:val="32"/>
          <w:szCs w:val="32"/>
        </w:rPr>
        <w:t>明确与无创血糖监测产品联合使用实现预期用途的其他产品的详细信息。</w:t>
      </w:r>
    </w:p>
    <w:p>
      <w:pPr>
        <w:spacing w:line="520" w:lineRule="exact"/>
        <w:ind w:firstLine="64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对于已获得批准的部件或配合使用的附件，</w:t>
      </w:r>
      <w:r>
        <w:rPr>
          <w:rFonts w:hint="eastAsia" w:asciiTheme="minorEastAsia" w:hAnsiTheme="minorEastAsia" w:eastAsiaTheme="minorEastAsia" w:cstheme="minorEastAsia"/>
          <w:bCs/>
          <w:color w:val="000000"/>
          <w:sz w:val="32"/>
          <w:szCs w:val="32"/>
        </w:rPr>
        <w:t>申请人</w:t>
      </w:r>
      <w:r>
        <w:rPr>
          <w:rFonts w:hint="eastAsia" w:asciiTheme="minorEastAsia" w:hAnsiTheme="minorEastAsia" w:eastAsiaTheme="minorEastAsia" w:cstheme="minorEastAsia"/>
          <w:bCs/>
          <w:color w:val="000000"/>
          <w:sz w:val="32"/>
          <w:szCs w:val="32"/>
        </w:rPr>
        <w:t>应提供注册证编号和国家药监局官方网站公布的注册证信息</w:t>
      </w:r>
      <w:r>
        <w:rPr>
          <w:rFonts w:hint="eastAsia" w:asciiTheme="minorEastAsia" w:hAnsiTheme="minorEastAsia" w:eastAsiaTheme="minorEastAsia" w:cstheme="minorEastAsia"/>
          <w:bCs/>
          <w:color w:val="000000"/>
          <w:sz w:val="32"/>
          <w:szCs w:val="32"/>
        </w:rPr>
        <w:t>，例如，</w:t>
      </w:r>
      <w:r>
        <w:rPr>
          <w:rFonts w:hint="eastAsia" w:asciiTheme="minorEastAsia" w:hAnsiTheme="minorEastAsia" w:eastAsiaTheme="minorEastAsia" w:cstheme="minorEastAsia"/>
          <w:sz w:val="32"/>
          <w:szCs w:val="32"/>
        </w:rPr>
        <w:t>组合血糖仪</w:t>
      </w:r>
      <w:r>
        <w:rPr>
          <w:rFonts w:hint="eastAsia" w:asciiTheme="minorEastAsia" w:hAnsiTheme="minorEastAsia" w:eastAsiaTheme="minorEastAsia" w:cstheme="minorEastAsia"/>
          <w:sz w:val="32"/>
          <w:szCs w:val="32"/>
        </w:rPr>
        <w:t>的有创血糖检测模块（含试纸）</w:t>
      </w:r>
      <w:r>
        <w:rPr>
          <w:rFonts w:hint="eastAsia" w:asciiTheme="minorEastAsia" w:hAnsiTheme="minorEastAsia" w:eastAsiaTheme="minorEastAsia" w:cstheme="minorEastAsia"/>
          <w:bCs/>
          <w:color w:val="000000"/>
          <w:sz w:val="32"/>
          <w:szCs w:val="32"/>
        </w:rPr>
        <w:t>。</w:t>
      </w:r>
    </w:p>
    <w:p>
      <w:pPr>
        <w:widowControl/>
        <w:numPr>
          <w:ilvl w:val="0"/>
          <w:numId w:val="2"/>
        </w:numPr>
        <w:spacing w:line="520" w:lineRule="exact"/>
        <w:ind w:left="0" w:firstLine="640" w:firstLineChars="200"/>
        <w:outlineLvl w:val="1"/>
        <w:rPr>
          <w:rFonts w:hint="eastAsia" w:asciiTheme="minorEastAsia" w:hAnsiTheme="minorEastAsia" w:eastAsiaTheme="minorEastAsia" w:cstheme="minorEastAsia"/>
          <w:bCs/>
          <w:color w:val="000000"/>
          <w:sz w:val="32"/>
          <w:szCs w:val="32"/>
        </w:rPr>
      </w:pPr>
      <w:bookmarkStart w:id="50" w:name="_Toc112680024"/>
      <w:r>
        <w:rPr>
          <w:rFonts w:hint="eastAsia" w:asciiTheme="minorEastAsia" w:hAnsiTheme="minorEastAsia" w:eastAsiaTheme="minorEastAsia" w:cstheme="minorEastAsia"/>
          <w:bCs/>
          <w:color w:val="000000"/>
          <w:sz w:val="32"/>
          <w:szCs w:val="32"/>
        </w:rPr>
        <w:t>非临床资料</w:t>
      </w:r>
      <w:bookmarkEnd w:id="50"/>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51" w:name="_Ref113528485"/>
      <w:bookmarkStart w:id="52" w:name="_Toc112680025"/>
      <w:r>
        <w:rPr>
          <w:rFonts w:hint="eastAsia" w:asciiTheme="minorEastAsia" w:hAnsiTheme="minorEastAsia" w:eastAsiaTheme="minorEastAsia" w:cstheme="minorEastAsia"/>
          <w:color w:val="000000"/>
          <w:sz w:val="32"/>
          <w:szCs w:val="32"/>
        </w:rPr>
        <w:t>产品风险管理资料</w:t>
      </w:r>
      <w:bookmarkEnd w:id="51"/>
      <w:bookmarkEnd w:id="52"/>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申请人应提供产品风险管理资料，见</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REF _Ref443935308 \h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附</w:t>
      </w:r>
      <w:r>
        <w:rPr>
          <w:rFonts w:hint="eastAsia" w:asciiTheme="minorEastAsia" w:hAnsiTheme="minorEastAsia" w:eastAsiaTheme="minorEastAsia" w:cstheme="minorEastAsia"/>
          <w:sz w:val="32"/>
          <w:szCs w:val="32"/>
        </w:rPr>
        <w:t>件</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XE "1" </w:instrTex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考虑到产品预期使用的地点（包括但不限于医疗机构、特种交通工具、户外/户内公共场所、家庭等）和环境条件的相关风险〔包括但不限于热能（温度）、绝对湿度和相对湿度、海拔、</w:t>
      </w:r>
      <w:r>
        <w:rPr>
          <w:rFonts w:hint="eastAsia" w:asciiTheme="minorEastAsia" w:hAnsiTheme="minorEastAsia" w:eastAsiaTheme="minorEastAsia" w:cstheme="minorEastAsia"/>
          <w:bCs/>
          <w:color w:val="000000"/>
          <w:sz w:val="32"/>
          <w:szCs w:val="32"/>
        </w:rPr>
        <w:t>压力、移动、振动、</w:t>
      </w:r>
      <w:r>
        <w:rPr>
          <w:rFonts w:hint="eastAsia" w:asciiTheme="minorEastAsia" w:hAnsiTheme="minorEastAsia" w:eastAsiaTheme="minorEastAsia" w:cstheme="minorEastAsia"/>
          <w:sz w:val="32"/>
          <w:szCs w:val="32"/>
        </w:rPr>
        <w:t>电磁环境、辐射环境等〕，申请人应在风险分析和管理过程中估计、评价并控制环境因素可能引起的相关风险，同时制造商应说明提出风险控制措施的验证确认资料（含客观证据），验证和确认产品在预期使用环境中的安全性、临床功能和性能。</w:t>
      </w:r>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53" w:name="_Toc112680026"/>
      <w:r>
        <w:rPr>
          <w:rFonts w:hint="eastAsia" w:asciiTheme="minorEastAsia" w:hAnsiTheme="minorEastAsia" w:eastAsiaTheme="minorEastAsia" w:cstheme="minorEastAsia"/>
          <w:color w:val="000000"/>
          <w:sz w:val="32"/>
          <w:szCs w:val="32"/>
        </w:rPr>
        <w:t>医疗器械安全和性能基本原则清单</w:t>
      </w:r>
      <w:bookmarkEnd w:id="53"/>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按照《医疗器械注册申报资料要求和批准证明文件格式》</w:t>
      </w:r>
      <w:r>
        <w:rPr>
          <w:rFonts w:hint="eastAsia" w:asciiTheme="minorEastAsia" w:hAnsiTheme="minorEastAsia" w:eastAsiaTheme="minorEastAsia" w:cstheme="minorEastAsia"/>
          <w:sz w:val="32"/>
          <w:szCs w:val="32"/>
        </w:rPr>
        <w:t>附件9并参考《医疗器械安全和性能基本原则符合性技术指南》，</w:t>
      </w:r>
      <w:r>
        <w:rPr>
          <w:rFonts w:hint="eastAsia" w:asciiTheme="minorEastAsia" w:hAnsiTheme="minorEastAsia" w:eastAsiaTheme="minorEastAsia" w:cstheme="minorEastAsia"/>
          <w:sz w:val="32"/>
          <w:szCs w:val="32"/>
        </w:rPr>
        <w:t>申请人应提供《医疗器械安全和性能基本原则清单》。申请人应判断该清单</w:t>
      </w:r>
      <w:r>
        <w:rPr>
          <w:rFonts w:hint="eastAsia" w:asciiTheme="minorEastAsia" w:hAnsiTheme="minorEastAsia" w:eastAsiaTheme="minorEastAsia" w:cstheme="minorEastAsia"/>
          <w:sz w:val="32"/>
          <w:szCs w:val="32"/>
        </w:rPr>
        <w:t>各项</w:t>
      </w:r>
      <w:r>
        <w:rPr>
          <w:rFonts w:hint="eastAsia" w:asciiTheme="minorEastAsia" w:hAnsiTheme="minorEastAsia" w:eastAsiaTheme="minorEastAsia" w:cstheme="minorEastAsia"/>
          <w:sz w:val="32"/>
          <w:szCs w:val="32"/>
        </w:rPr>
        <w:t>的适用性，</w:t>
      </w:r>
      <w:r>
        <w:rPr>
          <w:rFonts w:hint="eastAsia" w:asciiTheme="minorEastAsia" w:hAnsiTheme="minorEastAsia" w:eastAsiaTheme="minorEastAsia" w:cstheme="minorEastAsia"/>
          <w:sz w:val="32"/>
          <w:szCs w:val="32"/>
        </w:rPr>
        <w:t>说明无创血糖监测产品符合适用要求所采用的方法，</w:t>
      </w:r>
      <w:r>
        <w:rPr>
          <w:rFonts w:hint="eastAsia" w:asciiTheme="minorEastAsia" w:hAnsiTheme="minorEastAsia" w:eastAsiaTheme="minorEastAsia" w:cstheme="minorEastAsia"/>
          <w:sz w:val="32"/>
          <w:szCs w:val="32"/>
        </w:rPr>
        <w:t>按照确定的方法形成相应的符合性证据，明确</w:t>
      </w:r>
      <w:r>
        <w:rPr>
          <w:rFonts w:hint="eastAsia" w:asciiTheme="minorEastAsia" w:hAnsiTheme="minorEastAsia" w:eastAsiaTheme="minorEastAsia" w:cstheme="minorEastAsia"/>
          <w:sz w:val="32"/>
          <w:szCs w:val="32"/>
        </w:rPr>
        <w:t>证明其符合性的文件。对于</w:t>
      </w:r>
      <w:r>
        <w:rPr>
          <w:rFonts w:hint="eastAsia" w:asciiTheme="minorEastAsia" w:hAnsiTheme="minorEastAsia" w:eastAsiaTheme="minorEastAsia" w:cstheme="minorEastAsia"/>
          <w:sz w:val="32"/>
          <w:szCs w:val="32"/>
        </w:rPr>
        <w:t>该清单</w:t>
      </w:r>
      <w:r>
        <w:rPr>
          <w:rFonts w:hint="eastAsia" w:asciiTheme="minorEastAsia" w:hAnsiTheme="minorEastAsia" w:eastAsiaTheme="minorEastAsia" w:cstheme="minorEastAsia"/>
          <w:sz w:val="32"/>
          <w:szCs w:val="32"/>
        </w:rPr>
        <w:t>中不适用的各项要求，</w:t>
      </w:r>
      <w:r>
        <w:rPr>
          <w:rFonts w:hint="eastAsia" w:asciiTheme="minorEastAsia" w:hAnsiTheme="minorEastAsia" w:eastAsiaTheme="minorEastAsia" w:cstheme="minorEastAsia"/>
          <w:sz w:val="32"/>
          <w:szCs w:val="32"/>
        </w:rPr>
        <w:t>申请人</w:t>
      </w:r>
      <w:r>
        <w:rPr>
          <w:rFonts w:hint="eastAsia" w:asciiTheme="minorEastAsia" w:hAnsiTheme="minorEastAsia" w:eastAsiaTheme="minorEastAsia" w:cstheme="minorEastAsia"/>
          <w:sz w:val="32"/>
          <w:szCs w:val="32"/>
        </w:rPr>
        <w:t>应当说明理由。</w:t>
      </w:r>
    </w:p>
    <w:p>
      <w:pPr>
        <w:spacing w:line="520" w:lineRule="exact"/>
        <w:ind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申请人应着重明确下述项目的适用性，说明无创血糖监测产品符合适用要求所采用的方法，提供证明其符合性的文件：</w:t>
      </w:r>
    </w:p>
    <w:p>
      <w:pPr>
        <w:numPr>
          <w:ilvl w:val="1"/>
          <w:numId w:val="7"/>
        </w:numPr>
        <w:spacing w:line="520" w:lineRule="exact"/>
        <w:ind w:left="0"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A5环境和使用条件，例如，A5.1、A5.2、A5.4、A5.5、A5.6、A5.7、A5.8等项；</w:t>
      </w:r>
    </w:p>
    <w:p>
      <w:pPr>
        <w:numPr>
          <w:ilvl w:val="1"/>
          <w:numId w:val="7"/>
        </w:numPr>
        <w:spacing w:line="520" w:lineRule="exact"/>
        <w:ind w:left="0"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A6对电气、机械和热风险的防护，例如，A6.1、A6.4、A6.5等项；</w:t>
      </w:r>
    </w:p>
    <w:p>
      <w:pPr>
        <w:numPr>
          <w:ilvl w:val="1"/>
          <w:numId w:val="7"/>
        </w:numPr>
        <w:spacing w:line="520" w:lineRule="exact"/>
        <w:ind w:left="0"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A7有源医疗器械及与其连接的医疗器械，例如，A7.1、A7.5、A7.6、A7.7等项；</w:t>
      </w:r>
    </w:p>
    <w:p>
      <w:pPr>
        <w:numPr>
          <w:ilvl w:val="1"/>
          <w:numId w:val="7"/>
        </w:numPr>
        <w:spacing w:line="520" w:lineRule="exact"/>
        <w:ind w:left="0"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A8含有软件的医疗器械以及独立软件；</w:t>
      </w:r>
    </w:p>
    <w:p>
      <w:pPr>
        <w:numPr>
          <w:ilvl w:val="1"/>
          <w:numId w:val="7"/>
        </w:numPr>
        <w:spacing w:line="520" w:lineRule="exact"/>
        <w:ind w:left="0"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A9具有诊断或测量功能的医疗器械；</w:t>
      </w:r>
    </w:p>
    <w:p>
      <w:pPr>
        <w:numPr>
          <w:ilvl w:val="1"/>
          <w:numId w:val="7"/>
        </w:numPr>
        <w:spacing w:line="520" w:lineRule="exact"/>
        <w:ind w:left="0"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A12对非专业用户使用风险的防护。</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54" w:name="_Toc112680027"/>
      <w:r>
        <w:rPr>
          <w:rFonts w:hint="eastAsia" w:asciiTheme="minorEastAsia" w:hAnsiTheme="minorEastAsia" w:eastAsiaTheme="minorEastAsia" w:cstheme="minorEastAsia"/>
          <w:color w:val="000000"/>
          <w:sz w:val="32"/>
          <w:szCs w:val="32"/>
        </w:rPr>
        <w:t>产品技术要求及检验报告</w:t>
      </w:r>
      <w:bookmarkEnd w:id="54"/>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55" w:name="_Toc112680028"/>
      <w:r>
        <w:rPr>
          <w:rFonts w:hint="eastAsia" w:asciiTheme="minorEastAsia" w:hAnsiTheme="minorEastAsia" w:eastAsiaTheme="minorEastAsia" w:cstheme="minorEastAsia"/>
          <w:color w:val="000000"/>
          <w:sz w:val="32"/>
          <w:szCs w:val="32"/>
        </w:rPr>
        <w:t>申报产品适用标准情况</w:t>
      </w:r>
      <w:bookmarkEnd w:id="55"/>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无创血糖监测产品宜参考的现行有效标准见</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REF _Ref114642423 \h  \* MERGEFORMAT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sz w:val="32"/>
          <w:szCs w:val="32"/>
        </w:rPr>
        <w:t>附</w:t>
      </w:r>
      <w:r>
        <w:rPr>
          <w:rFonts w:hint="eastAsia" w:asciiTheme="minorEastAsia" w:hAnsiTheme="minorEastAsia" w:eastAsiaTheme="minorEastAsia" w:cstheme="minorEastAsia"/>
          <w:sz w:val="32"/>
          <w:szCs w:val="32"/>
        </w:rPr>
        <w:t>件</w:t>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56" w:name="_Toc112680029"/>
      <w:r>
        <w:rPr>
          <w:rFonts w:hint="eastAsia" w:asciiTheme="minorEastAsia" w:hAnsiTheme="minorEastAsia" w:eastAsiaTheme="minorEastAsia" w:cstheme="minorEastAsia"/>
          <w:color w:val="000000"/>
          <w:sz w:val="32"/>
          <w:szCs w:val="32"/>
        </w:rPr>
        <w:t>产品技术要求</w:t>
      </w:r>
      <w:bookmarkEnd w:id="56"/>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产品技术要求应参考《医疗器械产品技术要求编写指导原则》</w:t>
      </w:r>
      <w:r>
        <w:rPr>
          <w:rFonts w:hint="eastAsia" w:asciiTheme="minorEastAsia" w:hAnsiTheme="minorEastAsia" w:eastAsiaTheme="minorEastAsia" w:cstheme="minorEastAsia"/>
          <w:color w:val="000000"/>
          <w:sz w:val="32"/>
          <w:szCs w:val="32"/>
        </w:rPr>
        <w:t>编制</w:t>
      </w:r>
      <w:r>
        <w:rPr>
          <w:rFonts w:hint="eastAsia" w:asciiTheme="minorEastAsia" w:hAnsiTheme="minorEastAsia" w:eastAsiaTheme="minorEastAsia" w:cstheme="minorEastAsia"/>
          <w:color w:val="000000"/>
          <w:sz w:val="32"/>
          <w:szCs w:val="32"/>
        </w:rPr>
        <w:t>，见</w:t>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REF _Ref114642765 \h  \* MERGEFORMAT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附</w:t>
      </w:r>
      <w:r>
        <w:rPr>
          <w:rFonts w:hint="eastAsia" w:asciiTheme="minorEastAsia" w:hAnsiTheme="minorEastAsia" w:eastAsiaTheme="minorEastAsia" w:cstheme="minorEastAsia"/>
          <w:color w:val="000000"/>
          <w:sz w:val="32"/>
          <w:szCs w:val="32"/>
        </w:rPr>
        <w:t>件</w:t>
      </w:r>
      <w:r>
        <w:rPr>
          <w:rFonts w:hint="eastAsia" w:asciiTheme="minorEastAsia" w:hAnsiTheme="minorEastAsia" w:eastAsiaTheme="minorEastAsia" w:cstheme="minorEastAsia"/>
          <w:color w:val="000000"/>
          <w:sz w:val="32"/>
          <w:szCs w:val="32"/>
        </w:rPr>
        <w:t>3</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rPr>
        <w:t>。</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57" w:name="_Toc112680030"/>
      <w:r>
        <w:rPr>
          <w:rFonts w:hint="eastAsia" w:asciiTheme="minorEastAsia" w:hAnsiTheme="minorEastAsia" w:eastAsiaTheme="minorEastAsia" w:cstheme="minorEastAsia"/>
          <w:color w:val="000000"/>
          <w:sz w:val="32"/>
          <w:szCs w:val="32"/>
        </w:rPr>
        <w:t>产品检验报告</w:t>
      </w:r>
      <w:bookmarkEnd w:id="57"/>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color w:val="000000"/>
          <w:sz w:val="32"/>
          <w:szCs w:val="32"/>
        </w:rPr>
        <w:t>可提交以下任一形式的检验报告：</w:t>
      </w:r>
    </w:p>
    <w:p>
      <w:pPr>
        <w:numPr>
          <w:ilvl w:val="2"/>
          <w:numId w:val="8"/>
        </w:numPr>
        <w:spacing w:line="520" w:lineRule="exact"/>
        <w:ind w:left="0"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申请人出具的自检报告。</w:t>
      </w:r>
    </w:p>
    <w:p>
      <w:pPr>
        <w:numPr>
          <w:ilvl w:val="2"/>
          <w:numId w:val="8"/>
        </w:numPr>
        <w:spacing w:line="520" w:lineRule="exact"/>
        <w:ind w:left="0"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委托有资质的医疗器械检验机构出具的检验报告。</w:t>
      </w:r>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58" w:name="_Ref117668548"/>
      <w:bookmarkStart w:id="59" w:name="_Toc112680031"/>
      <w:bookmarkStart w:id="60" w:name="_Ref113528513"/>
      <w:bookmarkStart w:id="61" w:name="_Ref117668541"/>
      <w:r>
        <w:rPr>
          <w:rFonts w:hint="eastAsia" w:asciiTheme="minorEastAsia" w:hAnsiTheme="minorEastAsia" w:eastAsiaTheme="minorEastAsia" w:cstheme="minorEastAsia"/>
          <w:color w:val="000000"/>
          <w:sz w:val="32"/>
          <w:szCs w:val="32"/>
        </w:rPr>
        <w:t>研究资料</w:t>
      </w:r>
      <w:bookmarkEnd w:id="58"/>
      <w:bookmarkEnd w:id="59"/>
      <w:bookmarkEnd w:id="60"/>
      <w:bookmarkEnd w:id="61"/>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pPr>
        <w:spacing w:line="560" w:lineRule="exact"/>
        <w:ind w:firstLine="48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参考本指导原则</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REF _Ref114642423 \h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附</w:t>
      </w:r>
      <w:r>
        <w:rPr>
          <w:rFonts w:hint="eastAsia" w:asciiTheme="minorEastAsia" w:hAnsiTheme="minorEastAsia" w:eastAsiaTheme="minorEastAsia" w:cstheme="minorEastAsia"/>
          <w:sz w:val="32"/>
          <w:szCs w:val="32"/>
        </w:rPr>
        <w:t>件</w:t>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，申请人应详细说明安全和性能标准的适用性。</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2" w:name="_Toc112680032"/>
      <w:r>
        <w:rPr>
          <w:rFonts w:hint="eastAsia" w:asciiTheme="minorEastAsia" w:hAnsiTheme="minorEastAsia" w:eastAsiaTheme="minorEastAsia" w:cstheme="minorEastAsia"/>
          <w:color w:val="000000"/>
          <w:sz w:val="32"/>
          <w:szCs w:val="32"/>
        </w:rPr>
        <w:t>产品</w:t>
      </w:r>
      <w:r>
        <w:rPr>
          <w:rFonts w:hint="eastAsia" w:asciiTheme="minorEastAsia" w:hAnsiTheme="minorEastAsia" w:eastAsiaTheme="minorEastAsia" w:cstheme="minorEastAsia"/>
          <w:color w:val="000000"/>
          <w:sz w:val="32"/>
          <w:szCs w:val="32"/>
        </w:rPr>
        <w:t>性能研究</w:t>
      </w:r>
      <w:bookmarkEnd w:id="62"/>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申请人应提供产品物理和/或机械性能指标的确定依据、设计输入来源以及临床意义，所采用的标准或方法、采用的原因及理论基础。</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申请人应提供无创血糖检测性能的研究资料。申请人应基于无创血糖监测产品的</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w:instrText>
      </w:r>
      <w:r>
        <w:rPr>
          <w:rFonts w:hint="eastAsia" w:asciiTheme="minorEastAsia" w:hAnsiTheme="minorEastAsia" w:eastAsiaTheme="minorEastAsia" w:cstheme="minorEastAsia"/>
          <w:sz w:val="32"/>
          <w:szCs w:val="32"/>
        </w:rPr>
        <w:instrText xml:space="preserve">REF _Ref111494533 \h</w:instrText>
      </w:r>
      <w:r>
        <w:rPr>
          <w:rFonts w:hint="eastAsia" w:asciiTheme="minorEastAsia" w:hAnsiTheme="minorEastAsia" w:eastAsiaTheme="minorEastAsia" w:cstheme="minorEastAsia"/>
          <w:sz w:val="32"/>
          <w:szCs w:val="32"/>
        </w:rPr>
        <w:instrText xml:space="preserv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适用范围和禁忌证</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，以实验检测系统为参考，针对既定的</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w:instrText>
      </w:r>
      <w:r>
        <w:rPr>
          <w:rFonts w:hint="eastAsia" w:asciiTheme="minorEastAsia" w:hAnsiTheme="minorEastAsia" w:eastAsiaTheme="minorEastAsia" w:cstheme="minorEastAsia"/>
          <w:sz w:val="32"/>
          <w:szCs w:val="32"/>
        </w:rPr>
        <w:instrText xml:space="preserve">REF _Ref112669887 \h</w:instrText>
      </w:r>
      <w:r>
        <w:rPr>
          <w:rFonts w:hint="eastAsia" w:asciiTheme="minorEastAsia" w:hAnsiTheme="minorEastAsia" w:eastAsiaTheme="minorEastAsia" w:cstheme="minorEastAsia"/>
          <w:sz w:val="32"/>
          <w:szCs w:val="32"/>
        </w:rPr>
        <w:instrText xml:space="preserv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预期用途</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，验证无创血糖监测产品在</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w:instrText>
      </w:r>
      <w:r>
        <w:rPr>
          <w:rFonts w:hint="eastAsia" w:asciiTheme="minorEastAsia" w:hAnsiTheme="minorEastAsia" w:eastAsiaTheme="minorEastAsia" w:cstheme="minorEastAsia"/>
          <w:sz w:val="32"/>
          <w:szCs w:val="32"/>
        </w:rPr>
        <w:instrText xml:space="preserve">REF _Ref112669049 \h</w:instrText>
      </w:r>
      <w:r>
        <w:rPr>
          <w:rFonts w:hint="eastAsia" w:asciiTheme="minorEastAsia" w:hAnsiTheme="minorEastAsia" w:eastAsiaTheme="minorEastAsia" w:cstheme="minorEastAsia"/>
          <w:sz w:val="32"/>
          <w:szCs w:val="32"/>
        </w:rPr>
        <w:instrText xml:space="preserv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预期使用环境</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中提供</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w:instrText>
      </w:r>
      <w:r>
        <w:rPr>
          <w:rFonts w:hint="eastAsia" w:asciiTheme="minorEastAsia" w:hAnsiTheme="minorEastAsia" w:eastAsiaTheme="minorEastAsia" w:cstheme="minorEastAsia"/>
          <w:sz w:val="32"/>
          <w:szCs w:val="32"/>
        </w:rPr>
        <w:instrText xml:space="preserve">REF _Ref112669111 \h</w:instrText>
      </w:r>
      <w:r>
        <w:rPr>
          <w:rFonts w:hint="eastAsia" w:asciiTheme="minorEastAsia" w:hAnsiTheme="minorEastAsia" w:eastAsiaTheme="minorEastAsia" w:cstheme="minorEastAsia"/>
          <w:sz w:val="32"/>
          <w:szCs w:val="32"/>
        </w:rPr>
        <w:instrText xml:space="preserv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适用人群</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相关</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REF _Ref112669671 \h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检测参数</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的性能，并提供研究数据的平均绝对相对误差值(MARD%)、共识误差栅格分析、Clarke误差栅格分析、连续误差栅格分析、±20%一致性评价、Bland-Altman分析、回归分析结果等。</w:t>
      </w:r>
    </w:p>
    <w:p>
      <w:pPr>
        <w:numPr>
          <w:ilvl w:val="2"/>
          <w:numId w:val="7"/>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预期用于患者自我血糖监测(SMBG)</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以毛细血管血糖值作为参考值进行比较，验证无创血糖检测的准确度和精密度。</w:t>
      </w:r>
    </w:p>
    <w:p>
      <w:pPr>
        <w:numPr>
          <w:ilvl w:val="2"/>
          <w:numId w:val="7"/>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预期用于在医院内进行的床边快速血糖检测(POCT)</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以静脉血浆血糖值或血清葡萄糖值、毛细血管血糖值作为参考值进行比较，评价无创血糖仪血糖检测结果的准确度和精密度。</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3" w:name="_Toc112680033"/>
      <w:r>
        <w:rPr>
          <w:rFonts w:hint="eastAsia" w:asciiTheme="minorEastAsia" w:hAnsiTheme="minorEastAsia" w:eastAsiaTheme="minorEastAsia" w:cstheme="minorEastAsia"/>
          <w:color w:val="000000"/>
          <w:sz w:val="32"/>
          <w:szCs w:val="32"/>
        </w:rPr>
        <w:t>联合使用</w:t>
      </w:r>
      <w:bookmarkEnd w:id="63"/>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如申报产品预期与其他医疗器械、药品、非医疗器械产品联合使用实现同一预期用途，申请人应提供证明联合使用安全有效的研究资料，包括互联基本信息（连接类型、接口、协议、最低性能）、联合使用风险及控制措施、联合使用上的限制，兼容性研究等。</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4" w:name="_Toc112680034"/>
      <w:r>
        <w:rPr>
          <w:rFonts w:hint="eastAsia" w:asciiTheme="minorEastAsia" w:hAnsiTheme="minorEastAsia" w:eastAsiaTheme="minorEastAsia" w:cstheme="minorEastAsia"/>
          <w:color w:val="000000"/>
          <w:sz w:val="32"/>
          <w:szCs w:val="32"/>
        </w:rPr>
        <w:t>电气系统安全性研究</w:t>
      </w:r>
      <w:bookmarkEnd w:id="64"/>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color w:val="000000"/>
          <w:sz w:val="32"/>
          <w:szCs w:val="32"/>
        </w:rPr>
        <w:t>应提供电气安全性、机械和环境保护以及电磁兼容性的研究资料，说明适用的标准以及开展的研究。</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5" w:name="_Toc112680035"/>
      <w:r>
        <w:rPr>
          <w:rFonts w:hint="eastAsia" w:asciiTheme="minorEastAsia" w:hAnsiTheme="minorEastAsia" w:eastAsiaTheme="minorEastAsia" w:cstheme="minorEastAsia"/>
          <w:color w:val="000000"/>
          <w:sz w:val="32"/>
          <w:szCs w:val="32"/>
        </w:rPr>
        <w:t>软件研究</w:t>
      </w:r>
      <w:bookmarkEnd w:id="65"/>
    </w:p>
    <w:p>
      <w:pPr>
        <w:numPr>
          <w:ilvl w:val="2"/>
          <w:numId w:val="7"/>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软件</w:t>
      </w:r>
      <w:r>
        <w:rPr>
          <w:rFonts w:hint="eastAsia" w:asciiTheme="minorEastAsia" w:hAnsiTheme="minorEastAsia" w:eastAsiaTheme="minorEastAsia" w:cstheme="minorEastAsia"/>
          <w:color w:val="000000"/>
          <w:sz w:val="32"/>
          <w:szCs w:val="32"/>
        </w:rPr>
        <w:t>组件</w:t>
      </w:r>
    </w:p>
    <w:p>
      <w:pPr>
        <w:spacing w:line="52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无创血糖监测产品的软件一般属于软件组件，一般不宜单独注册。参考《医疗器械软件注册技术审查指导原则</w:t>
      </w:r>
      <w:r>
        <w:rPr>
          <w:rFonts w:hint="eastAsia" w:asciiTheme="minorEastAsia" w:hAnsiTheme="minorEastAsia" w:eastAsiaTheme="minorEastAsia" w:cstheme="minorEastAsia"/>
          <w:sz w:val="32"/>
          <w:szCs w:val="32"/>
        </w:rPr>
        <w:t>（2022年修订版）</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color w:val="000000"/>
          <w:sz w:val="32"/>
          <w:szCs w:val="32"/>
        </w:rPr>
        <w:t>《移动医疗器械注册技术审查指导原则》</w:t>
      </w:r>
      <w:r>
        <w:rPr>
          <w:rFonts w:hint="eastAsia" w:asciiTheme="minorEastAsia" w:hAnsiTheme="minorEastAsia" w:eastAsiaTheme="minorEastAsia" w:cstheme="minorEastAsia"/>
          <w:sz w:val="32"/>
          <w:szCs w:val="32"/>
        </w:rPr>
        <w:t>，申请人应按照</w:t>
      </w:r>
      <w:r>
        <w:rPr>
          <w:rFonts w:hint="eastAsia" w:asciiTheme="minorEastAsia" w:hAnsiTheme="minorEastAsia" w:eastAsiaTheme="minorEastAsia" w:cstheme="minorEastAsia"/>
          <w:sz w:val="32"/>
          <w:szCs w:val="32"/>
        </w:rPr>
        <w:t>“严重”</w:t>
      </w:r>
      <w:r>
        <w:rPr>
          <w:rFonts w:hint="eastAsia" w:asciiTheme="minorEastAsia" w:hAnsiTheme="minorEastAsia" w:eastAsiaTheme="minorEastAsia" w:cstheme="minorEastAsia"/>
          <w:sz w:val="32"/>
          <w:szCs w:val="32"/>
        </w:rPr>
        <w:t>安全性级别提供软件</w:t>
      </w:r>
      <w:r>
        <w:rPr>
          <w:rFonts w:hint="eastAsia" w:asciiTheme="minorEastAsia" w:hAnsiTheme="minorEastAsia" w:eastAsiaTheme="minorEastAsia" w:cstheme="minorEastAsia"/>
          <w:sz w:val="32"/>
          <w:szCs w:val="32"/>
        </w:rPr>
        <w:t>研究资料</w:t>
      </w:r>
      <w:r>
        <w:rPr>
          <w:rFonts w:hint="eastAsia" w:asciiTheme="minorEastAsia" w:hAnsiTheme="minorEastAsia" w:eastAsiaTheme="minorEastAsia" w:cstheme="minorEastAsia"/>
          <w:sz w:val="32"/>
          <w:szCs w:val="32"/>
        </w:rPr>
        <w:t>，应关注：</w:t>
      </w:r>
    </w:p>
    <w:p>
      <w:pPr>
        <w:numPr>
          <w:ilvl w:val="3"/>
          <w:numId w:val="7"/>
        </w:numPr>
        <w:spacing w:line="520" w:lineRule="exact"/>
        <w:ind w:left="0" w:firstLine="640" w:firstLineChars="200"/>
        <w:outlineLvl w:val="5"/>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核心算法</w:t>
      </w:r>
    </w:p>
    <w:p>
      <w:pPr>
        <w:spacing w:line="520" w:lineRule="exact"/>
        <w:ind w:firstLine="64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申请人应提供</w:t>
      </w:r>
      <w:r>
        <w:rPr>
          <w:rFonts w:hint="eastAsia" w:asciiTheme="minorEastAsia" w:hAnsiTheme="minorEastAsia" w:eastAsiaTheme="minorEastAsia" w:cstheme="minorEastAsia"/>
          <w:sz w:val="32"/>
          <w:szCs w:val="32"/>
        </w:rPr>
        <w:t>无创血糖估算功能的</w:t>
      </w:r>
      <w:r>
        <w:rPr>
          <w:rFonts w:hint="eastAsia" w:asciiTheme="minorEastAsia" w:hAnsiTheme="minorEastAsia" w:eastAsiaTheme="minorEastAsia" w:cstheme="minorEastAsia"/>
          <w:sz w:val="32"/>
          <w:szCs w:val="32"/>
        </w:rPr>
        <w:t>算法名称、</w:t>
      </w:r>
      <w:r>
        <w:rPr>
          <w:rFonts w:hint="eastAsia" w:asciiTheme="minorEastAsia" w:hAnsiTheme="minorEastAsia" w:eastAsiaTheme="minorEastAsia" w:cstheme="minorEastAsia"/>
          <w:sz w:val="32"/>
          <w:szCs w:val="32"/>
        </w:rPr>
        <w:t>类型</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用途和临床功能</w:t>
      </w:r>
      <w:r>
        <w:rPr>
          <w:rFonts w:hint="eastAsia" w:asciiTheme="minorEastAsia" w:hAnsiTheme="minorEastAsia" w:eastAsiaTheme="minorEastAsia" w:cstheme="minorEastAsia"/>
          <w:sz w:val="32"/>
          <w:szCs w:val="32"/>
        </w:rPr>
        <w:t>，如为</w:t>
      </w:r>
      <w:r>
        <w:rPr>
          <w:rFonts w:hint="eastAsia" w:asciiTheme="minorEastAsia" w:hAnsiTheme="minorEastAsia" w:eastAsiaTheme="minorEastAsia" w:cstheme="minorEastAsia"/>
          <w:sz w:val="32"/>
          <w:szCs w:val="32"/>
        </w:rPr>
        <w:t>全新算法</w:t>
      </w:r>
      <w:r>
        <w:rPr>
          <w:rFonts w:hint="eastAsia" w:asciiTheme="minorEastAsia" w:hAnsiTheme="minorEastAsia" w:eastAsiaTheme="minorEastAsia" w:cstheme="minorEastAsia"/>
          <w:sz w:val="32"/>
          <w:szCs w:val="32"/>
        </w:rPr>
        <w:t>，还应</w:t>
      </w:r>
      <w:r>
        <w:rPr>
          <w:rFonts w:hint="eastAsia" w:asciiTheme="minorEastAsia" w:hAnsiTheme="minorEastAsia" w:eastAsiaTheme="minorEastAsia" w:cstheme="minorEastAsia"/>
          <w:sz w:val="32"/>
          <w:szCs w:val="32"/>
        </w:rPr>
        <w:t>提供安全性</w:t>
      </w:r>
      <w:r>
        <w:rPr>
          <w:rFonts w:hint="eastAsia" w:asciiTheme="minorEastAsia" w:hAnsiTheme="minorEastAsia" w:eastAsiaTheme="minorEastAsia" w:cstheme="minorEastAsia"/>
          <w:sz w:val="32"/>
          <w:szCs w:val="32"/>
        </w:rPr>
        <w:t>和</w:t>
      </w:r>
      <w:r>
        <w:rPr>
          <w:rFonts w:hint="eastAsia" w:asciiTheme="minorEastAsia" w:hAnsiTheme="minorEastAsia" w:eastAsiaTheme="minorEastAsia" w:cstheme="minorEastAsia"/>
          <w:sz w:val="32"/>
          <w:szCs w:val="32"/>
        </w:rPr>
        <w:t>有效性的验证资料。</w:t>
      </w:r>
    </w:p>
    <w:p>
      <w:pPr>
        <w:numPr>
          <w:ilvl w:val="3"/>
          <w:numId w:val="7"/>
        </w:numPr>
        <w:spacing w:line="520" w:lineRule="exact"/>
        <w:ind w:left="0" w:firstLine="640" w:firstLineChars="200"/>
        <w:outlineLvl w:val="5"/>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无创血糖估算功能的验证</w:t>
      </w:r>
    </w:p>
    <w:p>
      <w:pPr>
        <w:spacing w:line="52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申请人宜提供无创血糖估算功能的性能验证资料，包括多模生理参数数据库报告和性能验证报告。</w:t>
      </w:r>
    </w:p>
    <w:p>
      <w:pPr>
        <w:spacing w:line="520" w:lineRule="exact"/>
        <w:ind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多模生理参数数据库报告：申请人宜报告用于无创血糖估算性能验证的多模生理参数数据库，宜描述记录方法、多模生理参数来源、多模生理参数选择基准，并且宜提供评注方法和基准，例如，由具有多年心电图临床经验的专家组标注心电图数据等。</w:t>
      </w:r>
    </w:p>
    <w:p>
      <w:pPr>
        <w:spacing w:line="520" w:lineRule="exact"/>
        <w:ind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性能验证报告：申请人宜利用上述多模生理参数数据库验证无创血糖估算性能并提供性能验证报告，验证结果宜包括无创血糖</w:t>
      </w:r>
      <w:r>
        <w:rPr>
          <w:rFonts w:hint="eastAsia" w:asciiTheme="minorEastAsia" w:hAnsiTheme="minorEastAsia" w:eastAsiaTheme="minorEastAsia" w:cstheme="minorEastAsia"/>
          <w:kern w:val="0"/>
          <w:sz w:val="32"/>
          <w:szCs w:val="32"/>
        </w:rPr>
        <w:t>检测范围、</w:t>
      </w:r>
      <w:r>
        <w:rPr>
          <w:rFonts w:hint="eastAsia" w:asciiTheme="minorEastAsia" w:hAnsiTheme="minorEastAsia" w:eastAsiaTheme="minorEastAsia" w:cstheme="minorEastAsia"/>
          <w:sz w:val="32"/>
          <w:szCs w:val="32"/>
        </w:rPr>
        <w:t>准确度、</w:t>
      </w:r>
      <w:r>
        <w:rPr>
          <w:rFonts w:hint="eastAsia" w:asciiTheme="minorEastAsia" w:hAnsiTheme="minorEastAsia" w:eastAsiaTheme="minorEastAsia" w:cstheme="minorEastAsia"/>
          <w:kern w:val="0"/>
          <w:sz w:val="32"/>
          <w:szCs w:val="32"/>
        </w:rPr>
        <w:t>精确度、线性度等，鼓励申请人提供血糖检测的</w:t>
      </w:r>
      <w:r>
        <w:rPr>
          <w:rFonts w:hint="eastAsia" w:asciiTheme="minorEastAsia" w:hAnsiTheme="minorEastAsia" w:eastAsiaTheme="minorEastAsia" w:cstheme="minorEastAsia"/>
          <w:sz w:val="32"/>
          <w:szCs w:val="32"/>
        </w:rPr>
        <w:t>敏感度、特异度、真实预报价值和假阳性率等。</w:t>
      </w:r>
    </w:p>
    <w:p>
      <w:pPr>
        <w:numPr>
          <w:ilvl w:val="2"/>
          <w:numId w:val="7"/>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网络安全</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参考《医疗器械网络安全注册审查指导原则（2022年修订版）》，申请人</w:t>
      </w:r>
      <w:r>
        <w:rPr>
          <w:rFonts w:hint="eastAsia" w:asciiTheme="minorEastAsia" w:hAnsiTheme="minorEastAsia" w:eastAsiaTheme="minorEastAsia" w:cstheme="minorEastAsia"/>
          <w:color w:val="000000"/>
          <w:sz w:val="32"/>
          <w:szCs w:val="32"/>
        </w:rPr>
        <w:t>应提供网络安全研究资料。</w:t>
      </w:r>
    </w:p>
    <w:p>
      <w:pPr>
        <w:numPr>
          <w:ilvl w:val="2"/>
          <w:numId w:val="7"/>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人工智能</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如果采用人工智能技术实现</w:t>
      </w:r>
      <w:r>
        <w:rPr>
          <w:rFonts w:hint="eastAsia" w:asciiTheme="minorEastAsia" w:hAnsiTheme="minorEastAsia" w:eastAsiaTheme="minorEastAsia" w:cstheme="minorEastAsia"/>
          <w:sz w:val="32"/>
          <w:szCs w:val="32"/>
        </w:rPr>
        <w:t>无创血糖</w:t>
      </w:r>
      <w:r>
        <w:rPr>
          <w:rFonts w:hint="eastAsia" w:asciiTheme="minorEastAsia" w:hAnsiTheme="minorEastAsia" w:eastAsiaTheme="minorEastAsia" w:cstheme="minorEastAsia"/>
          <w:sz w:val="32"/>
          <w:szCs w:val="32"/>
        </w:rPr>
        <w:t>监测，参考</w:t>
      </w:r>
      <w:r>
        <w:rPr>
          <w:rFonts w:hint="eastAsia" w:asciiTheme="minorEastAsia" w:hAnsiTheme="minorEastAsia" w:eastAsiaTheme="minorEastAsia" w:cstheme="minorEastAsia"/>
          <w:color w:val="000000"/>
          <w:sz w:val="32"/>
          <w:szCs w:val="32"/>
        </w:rPr>
        <w:t>《人工智能医疗器械注册审查指导原则》</w:t>
      </w:r>
      <w:r>
        <w:rPr>
          <w:rFonts w:hint="eastAsia" w:asciiTheme="minorEastAsia" w:hAnsiTheme="minorEastAsia" w:eastAsiaTheme="minorEastAsia" w:cstheme="minorEastAsia"/>
          <w:color w:val="000000"/>
          <w:sz w:val="32"/>
          <w:szCs w:val="32"/>
        </w:rPr>
        <w:t>，申请人应提供算法研究资料，包括算法基本信息、数据收集、算法训练、算法性能评估等内容。</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6" w:name="_Toc112680036"/>
      <w:r>
        <w:rPr>
          <w:rFonts w:hint="eastAsia" w:asciiTheme="minorEastAsia" w:hAnsiTheme="minorEastAsia" w:eastAsiaTheme="minorEastAsia" w:cstheme="minorEastAsia"/>
          <w:color w:val="000000"/>
          <w:sz w:val="32"/>
          <w:szCs w:val="32"/>
        </w:rPr>
        <w:t>生物学特性研究</w:t>
      </w:r>
      <w:bookmarkEnd w:id="66"/>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rPr>
        <w:t>申请人应对</w:t>
      </w:r>
      <w:r>
        <w:rPr>
          <w:rFonts w:hint="eastAsia" w:asciiTheme="minorEastAsia" w:hAnsiTheme="minorEastAsia" w:eastAsiaTheme="minorEastAsia" w:cstheme="minorEastAsia"/>
          <w:sz w:val="32"/>
          <w:szCs w:val="32"/>
        </w:rPr>
        <w:t>预期与</w:t>
      </w:r>
      <w:r>
        <w:rPr>
          <w:rFonts w:hint="eastAsia" w:asciiTheme="minorEastAsia" w:hAnsiTheme="minorEastAsia" w:eastAsiaTheme="minorEastAsia" w:cstheme="minorEastAsia"/>
          <w:color w:val="000000"/>
          <w:sz w:val="32"/>
          <w:szCs w:val="32"/>
        </w:rPr>
        <w:t>患者直接或间接接触的产品进行生物学评价。</w:t>
      </w:r>
    </w:p>
    <w:p>
      <w:pPr>
        <w:spacing w:line="52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申请人宜参考GB/T 16886.1评定程序的框架并且在风险分</w:t>
      </w:r>
      <w:r>
        <w:rPr>
          <w:rFonts w:hint="eastAsia" w:asciiTheme="minorEastAsia" w:hAnsiTheme="minorEastAsia" w:eastAsiaTheme="minorEastAsia" w:cstheme="minorEastAsia"/>
          <w:sz w:val="32"/>
          <w:szCs w:val="32"/>
        </w:rPr>
        <w:t>析和管理的基础上，根据无创血糖监测产品与人体接触性质、接触时间和接触周期，考虑生物学评价项目，并按照系统方法框图进行生物学评价。</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如果无创血糖监测产品发生GB/T 16886.1的4.9项中任一情况，制造商</w:t>
      </w:r>
      <w:r>
        <w:rPr>
          <w:rFonts w:hint="eastAsia" w:asciiTheme="minorEastAsia" w:hAnsiTheme="minorEastAsia" w:eastAsiaTheme="minorEastAsia" w:cstheme="minorEastAsia"/>
          <w:sz w:val="32"/>
          <w:szCs w:val="32"/>
        </w:rPr>
        <w:t>应对材料或终产品重新进行生物学风险评定。如果注册人提交</w:t>
      </w:r>
      <w:r>
        <w:rPr>
          <w:rFonts w:hint="eastAsia" w:asciiTheme="minorEastAsia" w:hAnsiTheme="minorEastAsia" w:eastAsiaTheme="minorEastAsia" w:cstheme="minorEastAsia"/>
          <w:sz w:val="32"/>
          <w:szCs w:val="32"/>
        </w:rPr>
        <w:t>了未发生GB/T 16886.1的4.9项所述重新进行生物学风险评定</w:t>
      </w:r>
      <w:r>
        <w:rPr>
          <w:rFonts w:hint="eastAsia" w:asciiTheme="minorEastAsia" w:hAnsiTheme="minorEastAsia" w:eastAsiaTheme="minorEastAsia" w:cstheme="minorEastAsia"/>
          <w:sz w:val="32"/>
          <w:szCs w:val="32"/>
        </w:rPr>
        <w:t>的声明，制造商无需重新开展和补充开展生物学评价。</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7" w:name="_Toc112680037"/>
      <w:r>
        <w:rPr>
          <w:rFonts w:hint="eastAsia" w:asciiTheme="minorEastAsia" w:hAnsiTheme="minorEastAsia" w:eastAsiaTheme="minorEastAsia" w:cstheme="minorEastAsia"/>
          <w:color w:val="000000"/>
          <w:sz w:val="32"/>
          <w:szCs w:val="32"/>
        </w:rPr>
        <w:t>清洁、消毒研究</w:t>
      </w:r>
      <w:bookmarkEnd w:id="67"/>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Cs/>
          <w:color w:val="000000"/>
          <w:sz w:val="32"/>
          <w:szCs w:val="32"/>
        </w:rPr>
        <w:t>申请人</w:t>
      </w:r>
      <w:r>
        <w:rPr>
          <w:rFonts w:hint="eastAsia" w:asciiTheme="minorEastAsia" w:hAnsiTheme="minorEastAsia" w:eastAsiaTheme="minorEastAsia" w:cstheme="minorEastAsia"/>
          <w:bCs/>
          <w:color w:val="000000"/>
          <w:sz w:val="32"/>
          <w:szCs w:val="32"/>
        </w:rPr>
        <w:t>应明确推荐的清洗和消毒工艺（方法和参数）、工艺的确定依据以及验证的相关研究资料。</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68" w:name="_Toc112680038"/>
      <w:r>
        <w:rPr>
          <w:rFonts w:hint="eastAsia" w:asciiTheme="minorEastAsia" w:hAnsiTheme="minorEastAsia" w:eastAsiaTheme="minorEastAsia" w:cstheme="minorEastAsia"/>
          <w:color w:val="000000"/>
          <w:sz w:val="32"/>
          <w:szCs w:val="32"/>
        </w:rPr>
        <w:t>证明产品安全性、有效性的其他研究资料</w:t>
      </w:r>
      <w:bookmarkEnd w:id="68"/>
    </w:p>
    <w:p>
      <w:pPr>
        <w:numPr>
          <w:ilvl w:val="2"/>
          <w:numId w:val="7"/>
        </w:numPr>
        <w:spacing w:line="520" w:lineRule="exact"/>
        <w:ind w:left="0" w:firstLine="640" w:firstLineChars="200"/>
        <w:outlineLvl w:val="4"/>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无创血糖检测</w:t>
      </w:r>
      <w:r>
        <w:rPr>
          <w:rFonts w:hint="eastAsia" w:asciiTheme="minorEastAsia" w:hAnsiTheme="minorEastAsia" w:eastAsiaTheme="minorEastAsia" w:cstheme="minorEastAsia"/>
          <w:color w:val="000000"/>
          <w:sz w:val="32"/>
          <w:szCs w:val="32"/>
        </w:rPr>
        <w:t>建模研究</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申请人如果建立了无创血糖检测模型，应提供无创血糖监测产品建模研究资料。鼓励申请人采用计算机建模研究方法，宜参考ASME (The American Society of Mechanical Engineers) V&amp;V 40及相关技术资料。</w:t>
      </w:r>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69" w:name="_Toc112680039"/>
      <w:r>
        <w:rPr>
          <w:rFonts w:hint="eastAsia" w:asciiTheme="minorEastAsia" w:hAnsiTheme="minorEastAsia" w:eastAsiaTheme="minorEastAsia" w:cstheme="minorEastAsia"/>
          <w:color w:val="000000"/>
          <w:sz w:val="32"/>
          <w:szCs w:val="32"/>
        </w:rPr>
        <w:t>非临床文献</w:t>
      </w:r>
      <w:bookmarkEnd w:id="69"/>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按照</w:t>
      </w:r>
      <w:r>
        <w:rPr>
          <w:rFonts w:hint="eastAsia" w:asciiTheme="minorEastAsia" w:hAnsiTheme="minorEastAsia" w:eastAsiaTheme="minorEastAsia" w:cstheme="minorEastAsia"/>
          <w:sz w:val="32"/>
          <w:szCs w:val="32"/>
        </w:rPr>
        <w:t>无创血糖监测的</w:t>
      </w:r>
      <w:r>
        <w:rPr>
          <w:rFonts w:hint="eastAsia" w:asciiTheme="minorEastAsia" w:hAnsiTheme="minorEastAsia" w:eastAsiaTheme="minorEastAsia" w:cstheme="minorEastAsia"/>
          <w:color w:val="000000"/>
          <w:sz w:val="32"/>
          <w:szCs w:val="32"/>
        </w:rPr>
        <w:t>工作原理</w:t>
      </w:r>
      <w:r>
        <w:rPr>
          <w:rFonts w:hint="eastAsia" w:asciiTheme="minorEastAsia" w:hAnsiTheme="minorEastAsia" w:eastAsiaTheme="minorEastAsia" w:cstheme="minorEastAsia"/>
          <w:color w:val="000000"/>
          <w:sz w:val="32"/>
          <w:szCs w:val="32"/>
        </w:rPr>
        <w:t>和技术实现方法，</w:t>
      </w:r>
      <w:r>
        <w:rPr>
          <w:rFonts w:hint="eastAsia" w:asciiTheme="minorEastAsia" w:hAnsiTheme="minorEastAsia" w:eastAsiaTheme="minorEastAsia" w:cstheme="minorEastAsia"/>
          <w:bCs/>
          <w:color w:val="000000"/>
          <w:sz w:val="32"/>
          <w:szCs w:val="32"/>
        </w:rPr>
        <w:t>申请人应</w:t>
      </w:r>
      <w:r>
        <w:rPr>
          <w:rFonts w:hint="eastAsia" w:asciiTheme="minorEastAsia" w:hAnsiTheme="minorEastAsia" w:eastAsiaTheme="minorEastAsia" w:cstheme="minorEastAsia"/>
          <w:bCs/>
          <w:color w:val="000000"/>
          <w:sz w:val="32"/>
          <w:szCs w:val="32"/>
        </w:rPr>
        <w:t>提供与无创血糖监测产品相关的已发表的非临床研究文献/书目列表，并提供相关内容的复印件（外文应同时提供翻译件）。如未检索到与申报无创血糖监测产品相关的非临床文献/书目，</w:t>
      </w:r>
      <w:r>
        <w:rPr>
          <w:rFonts w:hint="eastAsia" w:asciiTheme="minorEastAsia" w:hAnsiTheme="minorEastAsia" w:eastAsiaTheme="minorEastAsia" w:cstheme="minorEastAsia"/>
          <w:bCs/>
          <w:color w:val="000000"/>
          <w:sz w:val="32"/>
          <w:szCs w:val="32"/>
        </w:rPr>
        <w:t>申请人</w:t>
      </w:r>
      <w:r>
        <w:rPr>
          <w:rFonts w:hint="eastAsia" w:asciiTheme="minorEastAsia" w:hAnsiTheme="minorEastAsia" w:eastAsiaTheme="minorEastAsia" w:cstheme="minorEastAsia"/>
          <w:bCs/>
          <w:color w:val="000000"/>
          <w:sz w:val="32"/>
          <w:szCs w:val="32"/>
        </w:rPr>
        <w:t>应提供相关的声明。</w:t>
      </w:r>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70" w:name="_Toc112680040"/>
      <w:r>
        <w:rPr>
          <w:rFonts w:hint="eastAsia" w:asciiTheme="minorEastAsia" w:hAnsiTheme="minorEastAsia" w:eastAsiaTheme="minorEastAsia" w:cstheme="minorEastAsia"/>
          <w:color w:val="000000"/>
          <w:sz w:val="32"/>
          <w:szCs w:val="32"/>
        </w:rPr>
        <w:t>稳定性研究</w:t>
      </w:r>
      <w:bookmarkEnd w:id="70"/>
    </w:p>
    <w:p>
      <w:pPr>
        <w:numPr>
          <w:ilvl w:val="1"/>
          <w:numId w:val="9"/>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申请人应明确无创血糖监测产品的预期使用寿命，</w:t>
      </w:r>
      <w:r>
        <w:rPr>
          <w:rFonts w:hint="eastAsia" w:asciiTheme="minorEastAsia" w:hAnsiTheme="minorEastAsia" w:eastAsiaTheme="minorEastAsia" w:cstheme="minorEastAsia"/>
          <w:color w:val="000000"/>
          <w:sz w:val="32"/>
          <w:szCs w:val="32"/>
        </w:rPr>
        <w:t>参考</w:t>
      </w:r>
      <w:r>
        <w:rPr>
          <w:rFonts w:hint="eastAsia" w:asciiTheme="minorEastAsia" w:hAnsiTheme="minorEastAsia" w:eastAsiaTheme="minorEastAsia" w:cstheme="minorEastAsia"/>
          <w:color w:val="000000"/>
          <w:sz w:val="32"/>
          <w:szCs w:val="32"/>
        </w:rPr>
        <w:t>《有源医疗器械使用期限注册技术审查指导原则》</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提供预期使用寿命的分析验证报告。</w:t>
      </w:r>
    </w:p>
    <w:p>
      <w:pPr>
        <w:numPr>
          <w:ilvl w:val="1"/>
          <w:numId w:val="9"/>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如结构及组成中含有</w:t>
      </w:r>
      <w:r>
        <w:rPr>
          <w:rFonts w:hint="eastAsia" w:asciiTheme="minorEastAsia" w:hAnsiTheme="minorEastAsia" w:eastAsiaTheme="minorEastAsia" w:cstheme="minorEastAsia"/>
          <w:color w:val="000000"/>
          <w:sz w:val="32"/>
          <w:szCs w:val="32"/>
        </w:rPr>
        <w:t>非可充电电池</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申请人应明确</w:t>
      </w:r>
      <w:r>
        <w:rPr>
          <w:rFonts w:hint="eastAsia" w:asciiTheme="minorEastAsia" w:hAnsiTheme="minorEastAsia" w:eastAsiaTheme="minorEastAsia" w:cstheme="minorEastAsia"/>
          <w:color w:val="000000"/>
          <w:sz w:val="32"/>
          <w:szCs w:val="32"/>
        </w:rPr>
        <w:t>其</w:t>
      </w:r>
      <w:r>
        <w:rPr>
          <w:rFonts w:hint="eastAsia" w:asciiTheme="minorEastAsia" w:hAnsiTheme="minorEastAsia" w:eastAsiaTheme="minorEastAsia" w:cstheme="minorEastAsia"/>
          <w:color w:val="000000"/>
          <w:sz w:val="32"/>
          <w:szCs w:val="32"/>
        </w:rPr>
        <w:t>有效期并提供有效期的验证报告。</w:t>
      </w:r>
    </w:p>
    <w:p>
      <w:pPr>
        <w:numPr>
          <w:ilvl w:val="1"/>
          <w:numId w:val="9"/>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在宣称的有效期内以及运输储存条件下，申请人应提供保持包装完整性的依据，可参考GB/T 4857系列标准、国际安全运输协会(International Safe Transit Association, ISTA) 的1，2，3，7 SERIES标准、国际标准化组织(</w:t>
      </w:r>
      <w:r>
        <w:rPr>
          <w:rFonts w:hint="eastAsia" w:asciiTheme="minorEastAsia" w:hAnsiTheme="minorEastAsia" w:eastAsiaTheme="minorEastAsia" w:cstheme="minorEastAsia"/>
          <w:sz w:val="32"/>
          <w:szCs w:val="32"/>
        </w:rPr>
        <w:t>International Organization for Standardization</w:t>
      </w:r>
      <w:r>
        <w:rPr>
          <w:rFonts w:hint="eastAsia" w:asciiTheme="minorEastAsia" w:hAnsiTheme="minorEastAsia" w:eastAsiaTheme="minorEastAsia" w:cstheme="minorEastAsia"/>
          <w:color w:val="000000"/>
          <w:sz w:val="32"/>
          <w:szCs w:val="32"/>
        </w:rPr>
        <w:t>)的ISO 4180 Packaging标准、美国材料与试验学会(American Society of Testing Materials)的ASTM D4169 D7386 F2825标准等。</w:t>
      </w:r>
    </w:p>
    <w:p>
      <w:pPr>
        <w:numPr>
          <w:ilvl w:val="0"/>
          <w:numId w:val="7"/>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71" w:name="_Toc112680041"/>
      <w:r>
        <w:rPr>
          <w:rFonts w:hint="eastAsia" w:asciiTheme="minorEastAsia" w:hAnsiTheme="minorEastAsia" w:eastAsiaTheme="minorEastAsia" w:cstheme="minorEastAsia"/>
          <w:color w:val="000000"/>
          <w:sz w:val="32"/>
          <w:szCs w:val="32"/>
        </w:rPr>
        <w:t>其他资料</w:t>
      </w:r>
      <w:bookmarkEnd w:id="71"/>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72" w:name="_Toc112680042"/>
      <w:r>
        <w:rPr>
          <w:rFonts w:hint="eastAsia" w:asciiTheme="minorEastAsia" w:hAnsiTheme="minorEastAsia" w:eastAsiaTheme="minorEastAsia" w:cstheme="minorEastAsia"/>
          <w:color w:val="000000"/>
          <w:sz w:val="32"/>
          <w:szCs w:val="32"/>
        </w:rPr>
        <w:t>脉搏血氧饱和度检测的准确度研究</w:t>
      </w:r>
      <w:bookmarkEnd w:id="72"/>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如适用，按照YY 0784《医用电气设备 医用脉搏血氧仪设</w:t>
      </w:r>
      <w:r>
        <w:rPr>
          <w:rFonts w:hint="eastAsia" w:asciiTheme="minorEastAsia" w:hAnsiTheme="minorEastAsia" w:eastAsiaTheme="minorEastAsia" w:cstheme="minorEastAsia"/>
          <w:bCs/>
          <w:color w:val="000000"/>
          <w:sz w:val="32"/>
          <w:szCs w:val="32"/>
        </w:rPr>
        <w:t>备基本安全和主要性能专用要求》，申请人应提供无创血糖监测产品检测脉搏血氧饱和度的准确度研究资料。</w:t>
      </w:r>
    </w:p>
    <w:p>
      <w:pPr>
        <w:numPr>
          <w:ilvl w:val="1"/>
          <w:numId w:val="7"/>
        </w:numPr>
        <w:spacing w:line="520" w:lineRule="exact"/>
        <w:ind w:left="0" w:firstLine="640" w:firstLineChars="200"/>
        <w:outlineLvl w:val="3"/>
        <w:rPr>
          <w:rFonts w:hint="eastAsia" w:asciiTheme="minorEastAsia" w:hAnsiTheme="minorEastAsia" w:eastAsiaTheme="minorEastAsia" w:cstheme="minorEastAsia"/>
          <w:color w:val="000000"/>
          <w:sz w:val="32"/>
          <w:szCs w:val="32"/>
        </w:rPr>
      </w:pPr>
      <w:bookmarkStart w:id="73" w:name="_Toc112680044"/>
      <w:r>
        <w:rPr>
          <w:rFonts w:hint="eastAsia" w:asciiTheme="minorEastAsia" w:hAnsiTheme="minorEastAsia" w:eastAsiaTheme="minorEastAsia" w:cstheme="minorEastAsia"/>
          <w:color w:val="000000"/>
          <w:sz w:val="32"/>
          <w:szCs w:val="32"/>
        </w:rPr>
        <w:t>产品受益-风险评估研究</w:t>
      </w:r>
      <w:bookmarkEnd w:id="73"/>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参考《医疗器械产品受益-风险评估注册技术审查指导原则》，申请人宜提供</w:t>
      </w:r>
      <w:r>
        <w:rPr>
          <w:rFonts w:hint="eastAsia" w:asciiTheme="minorEastAsia" w:hAnsiTheme="minorEastAsia" w:eastAsiaTheme="minorEastAsia" w:cstheme="minorEastAsia"/>
          <w:sz w:val="32"/>
          <w:szCs w:val="32"/>
        </w:rPr>
        <w:t>产品</w:t>
      </w:r>
      <w:r>
        <w:rPr>
          <w:rFonts w:hint="eastAsia" w:asciiTheme="minorEastAsia" w:hAnsiTheme="minorEastAsia" w:eastAsiaTheme="minorEastAsia" w:cstheme="minorEastAsia"/>
          <w:bCs/>
          <w:color w:val="000000"/>
          <w:sz w:val="32"/>
          <w:szCs w:val="32"/>
        </w:rPr>
        <w:t>受益-风险评估资料。</w:t>
      </w:r>
    </w:p>
    <w:p>
      <w:pPr>
        <w:widowControl/>
        <w:numPr>
          <w:ilvl w:val="0"/>
          <w:numId w:val="2"/>
        </w:numPr>
        <w:spacing w:line="520" w:lineRule="exact"/>
        <w:ind w:left="0" w:firstLine="640" w:firstLineChars="200"/>
        <w:outlineLvl w:val="1"/>
        <w:rPr>
          <w:rFonts w:hint="eastAsia" w:asciiTheme="minorEastAsia" w:hAnsiTheme="minorEastAsia" w:eastAsiaTheme="minorEastAsia" w:cstheme="minorEastAsia"/>
          <w:bCs/>
          <w:color w:val="000000"/>
          <w:sz w:val="32"/>
          <w:szCs w:val="32"/>
        </w:rPr>
      </w:pPr>
      <w:bookmarkStart w:id="74" w:name="_Toc112680045"/>
      <w:r>
        <w:rPr>
          <w:rFonts w:hint="eastAsia" w:asciiTheme="minorEastAsia" w:hAnsiTheme="minorEastAsia" w:eastAsiaTheme="minorEastAsia" w:cstheme="minorEastAsia"/>
          <w:bCs/>
          <w:color w:val="000000"/>
          <w:sz w:val="32"/>
          <w:szCs w:val="32"/>
        </w:rPr>
        <w:t>临床评价资料</w:t>
      </w:r>
      <w:bookmarkEnd w:id="74"/>
    </w:p>
    <w:p>
      <w:pPr>
        <w:spacing w:line="52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按照《医疗器械临床评价技术指导原则》，</w:t>
      </w:r>
      <w:r>
        <w:rPr>
          <w:rFonts w:hint="eastAsia" w:asciiTheme="minorEastAsia" w:hAnsiTheme="minorEastAsia" w:eastAsiaTheme="minorEastAsia" w:cstheme="minorEastAsia"/>
          <w:sz w:val="32"/>
          <w:szCs w:val="32"/>
        </w:rPr>
        <w:t>申请人应提供</w:t>
      </w:r>
      <w:r>
        <w:rPr>
          <w:rFonts w:hint="eastAsia" w:asciiTheme="minorEastAsia" w:hAnsiTheme="minorEastAsia" w:eastAsiaTheme="minorEastAsia" w:cstheme="minorEastAsia"/>
          <w:sz w:val="32"/>
          <w:szCs w:val="32"/>
        </w:rPr>
        <w:t>无创血糖监测产品</w:t>
      </w:r>
      <w:r>
        <w:rPr>
          <w:rFonts w:hint="eastAsia" w:asciiTheme="minorEastAsia" w:hAnsiTheme="minorEastAsia" w:eastAsiaTheme="minorEastAsia" w:cstheme="minorEastAsia"/>
          <w:sz w:val="32"/>
          <w:szCs w:val="32"/>
        </w:rPr>
        <w:t>的临床评价资料</w:t>
      </w:r>
      <w:r>
        <w:rPr>
          <w:rFonts w:hint="eastAsia" w:asciiTheme="minorEastAsia" w:hAnsiTheme="minorEastAsia" w:eastAsiaTheme="minorEastAsia" w:cstheme="minorEastAsia"/>
          <w:sz w:val="32"/>
          <w:szCs w:val="32"/>
        </w:rPr>
        <w:t>。除非无创血糖监测产品属于《决策是否开展医疗器械临床试验技术指导原则》第三部分中可考虑免于开展临床试验的情形，否则原则上申请人应通过临床试验路径开展临床评价。</w:t>
      </w:r>
    </w:p>
    <w:p>
      <w:pPr>
        <w:numPr>
          <w:ilvl w:val="0"/>
          <w:numId w:val="10"/>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可考虑</w:t>
      </w:r>
      <w:r>
        <w:rPr>
          <w:rFonts w:hint="eastAsia" w:asciiTheme="minorEastAsia" w:hAnsiTheme="minorEastAsia" w:eastAsiaTheme="minorEastAsia" w:cstheme="minorEastAsia"/>
          <w:sz w:val="32"/>
          <w:szCs w:val="32"/>
        </w:rPr>
        <w:t>免于开展临床试验的情形</w:t>
      </w:r>
    </w:p>
    <w:p>
      <w:pPr>
        <w:spacing w:line="520" w:lineRule="exact"/>
        <w:ind w:firstLine="64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w:t>
      </w:r>
      <w:r>
        <w:rPr>
          <w:rFonts w:hint="eastAsia" w:asciiTheme="minorEastAsia" w:hAnsiTheme="minorEastAsia" w:eastAsiaTheme="minorEastAsia" w:cstheme="minorEastAsia"/>
          <w:sz w:val="32"/>
          <w:szCs w:val="32"/>
        </w:rPr>
        <w:t>医疗器械临床评价等同性论证技术指导原则</w:t>
      </w:r>
      <w:r>
        <w:rPr>
          <w:rFonts w:hint="eastAsia" w:asciiTheme="minorEastAsia" w:hAnsiTheme="minorEastAsia" w:eastAsiaTheme="minorEastAsia" w:cstheme="minorEastAsia"/>
          <w:sz w:val="32"/>
          <w:szCs w:val="32"/>
        </w:rPr>
        <w:t>》，申请人应通过分析评价同品种医疗器械的临床数据来确认</w:t>
      </w:r>
      <w:r>
        <w:rPr>
          <w:rFonts w:hint="eastAsia" w:asciiTheme="minorEastAsia" w:hAnsiTheme="minorEastAsia" w:eastAsiaTheme="minorEastAsia" w:cstheme="minorEastAsia"/>
          <w:sz w:val="32"/>
          <w:szCs w:val="32"/>
        </w:rPr>
        <w:t>无创血糖监测</w:t>
      </w:r>
      <w:r>
        <w:rPr>
          <w:rFonts w:hint="eastAsia" w:asciiTheme="minorEastAsia" w:hAnsiTheme="minorEastAsia" w:eastAsiaTheme="minorEastAsia" w:cstheme="minorEastAsia"/>
          <w:sz w:val="32"/>
          <w:szCs w:val="32"/>
        </w:rPr>
        <w:t>的安全性和有效性。</w:t>
      </w:r>
    </w:p>
    <w:p>
      <w:pPr>
        <w:spacing w:line="520" w:lineRule="exact"/>
        <w:ind w:firstLine="64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申请人可按照《接受医疗器械境外临床试验数据技术指导原则》的要求提供申报产品境外临床试验数据，结合其他</w:t>
      </w:r>
      <w:r>
        <w:rPr>
          <w:rFonts w:hint="eastAsia" w:asciiTheme="minorEastAsia" w:hAnsiTheme="minorEastAsia" w:eastAsiaTheme="minorEastAsia" w:cstheme="minorEastAsia"/>
          <w:sz w:val="32"/>
          <w:szCs w:val="32"/>
        </w:rPr>
        <w:t>资料和</w:t>
      </w:r>
      <w:r>
        <w:rPr>
          <w:rFonts w:hint="eastAsia" w:asciiTheme="minorEastAsia" w:hAnsiTheme="minorEastAsia" w:eastAsiaTheme="minorEastAsia" w:cstheme="minorEastAsia"/>
          <w:sz w:val="32"/>
          <w:szCs w:val="32"/>
        </w:rPr>
        <w:t>生产信息进行综合评价，确认</w:t>
      </w:r>
      <w:r>
        <w:rPr>
          <w:rFonts w:hint="eastAsia" w:asciiTheme="minorEastAsia" w:hAnsiTheme="minorEastAsia" w:eastAsiaTheme="minorEastAsia" w:cstheme="minorEastAsia"/>
          <w:sz w:val="32"/>
          <w:szCs w:val="32"/>
        </w:rPr>
        <w:t>无创血糖监测</w:t>
      </w:r>
      <w:r>
        <w:rPr>
          <w:rFonts w:hint="eastAsia" w:asciiTheme="minorEastAsia" w:hAnsiTheme="minorEastAsia" w:eastAsiaTheme="minorEastAsia" w:cstheme="minorEastAsia"/>
          <w:sz w:val="32"/>
          <w:szCs w:val="32"/>
        </w:rPr>
        <w:t>的安全性和有效性。</w:t>
      </w:r>
    </w:p>
    <w:p>
      <w:pPr>
        <w:numPr>
          <w:ilvl w:val="0"/>
          <w:numId w:val="10"/>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bookmarkStart w:id="75" w:name="_Toc112680047"/>
      <w:r>
        <w:rPr>
          <w:rFonts w:hint="eastAsia" w:asciiTheme="minorEastAsia" w:hAnsiTheme="minorEastAsia" w:eastAsiaTheme="minorEastAsia" w:cstheme="minorEastAsia"/>
          <w:color w:val="000000"/>
          <w:sz w:val="32"/>
          <w:szCs w:val="32"/>
        </w:rPr>
        <w:t>通过临床试验数据进行分析、评价</w:t>
      </w:r>
      <w:bookmarkEnd w:id="75"/>
    </w:p>
    <w:p>
      <w:pPr>
        <w:spacing w:line="52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sz w:val="32"/>
          <w:szCs w:val="32"/>
        </w:rPr>
        <w:t>可参考《医疗器械临床试验设计指导原则》来确认</w:t>
      </w:r>
      <w:r>
        <w:rPr>
          <w:rFonts w:hint="eastAsia" w:asciiTheme="minorEastAsia" w:hAnsiTheme="minorEastAsia" w:eastAsiaTheme="minorEastAsia" w:cstheme="minorEastAsia"/>
          <w:sz w:val="32"/>
          <w:szCs w:val="32"/>
        </w:rPr>
        <w:t>无创血糖监测</w:t>
      </w:r>
      <w:r>
        <w:rPr>
          <w:rFonts w:hint="eastAsia" w:asciiTheme="minorEastAsia" w:hAnsiTheme="minorEastAsia" w:eastAsiaTheme="minorEastAsia" w:cstheme="minorEastAsia"/>
          <w:color w:val="000000"/>
          <w:sz w:val="32"/>
          <w:szCs w:val="32"/>
        </w:rPr>
        <w:t>的</w:t>
      </w:r>
      <w:r>
        <w:rPr>
          <w:rFonts w:hint="eastAsia" w:asciiTheme="minorEastAsia" w:hAnsiTheme="minorEastAsia" w:eastAsiaTheme="minorEastAsia" w:cstheme="minorEastAsia"/>
          <w:sz w:val="32"/>
          <w:szCs w:val="32"/>
        </w:rPr>
        <w:t>安全性和有效性。</w:t>
      </w:r>
    </w:p>
    <w:p>
      <w:pPr>
        <w:widowControl/>
        <w:numPr>
          <w:ilvl w:val="0"/>
          <w:numId w:val="2"/>
        </w:numPr>
        <w:spacing w:line="520" w:lineRule="exact"/>
        <w:ind w:left="0" w:firstLine="640" w:firstLineChars="200"/>
        <w:outlineLvl w:val="1"/>
        <w:rPr>
          <w:rFonts w:hint="eastAsia" w:asciiTheme="minorEastAsia" w:hAnsiTheme="minorEastAsia" w:eastAsiaTheme="minorEastAsia" w:cstheme="minorEastAsia"/>
          <w:bCs/>
          <w:color w:val="000000"/>
          <w:sz w:val="32"/>
          <w:szCs w:val="32"/>
        </w:rPr>
      </w:pPr>
      <w:bookmarkStart w:id="76" w:name="_Toc112680048"/>
      <w:r>
        <w:rPr>
          <w:rFonts w:hint="eastAsia" w:asciiTheme="minorEastAsia" w:hAnsiTheme="minorEastAsia" w:eastAsiaTheme="minorEastAsia" w:cstheme="minorEastAsia"/>
          <w:bCs/>
          <w:color w:val="000000"/>
          <w:sz w:val="32"/>
          <w:szCs w:val="32"/>
        </w:rPr>
        <w:t>产品说明书</w:t>
      </w:r>
      <w:bookmarkEnd w:id="76"/>
    </w:p>
    <w:p>
      <w:pPr>
        <w:numPr>
          <w:ilvl w:val="0"/>
          <w:numId w:val="11"/>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注意事项、警示以及提示性内容</w:t>
      </w:r>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申请人应提供无创血糖监测和操作相关的必要内容，一般以“危险”“警告”“注意”等形式体现，应关注下述内容：</w:t>
      </w:r>
    </w:p>
    <w:p>
      <w:pPr>
        <w:numPr>
          <w:ilvl w:val="1"/>
          <w:numId w:val="12"/>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潜在的安全危害及使用限制</w:t>
      </w:r>
      <w:r>
        <w:rPr>
          <w:rFonts w:hint="eastAsia" w:asciiTheme="minorEastAsia" w:hAnsiTheme="minorEastAsia" w:eastAsiaTheme="minorEastAsia" w:cstheme="minorEastAsia"/>
          <w:color w:val="000000"/>
          <w:sz w:val="32"/>
          <w:szCs w:val="32"/>
        </w:rPr>
        <w:t>；</w:t>
      </w:r>
    </w:p>
    <w:p>
      <w:pPr>
        <w:numPr>
          <w:ilvl w:val="1"/>
          <w:numId w:val="12"/>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无创血糖监测产品在正确使用过程中出现意外时对操作者、使用者的保护措施以及应当采取的应急和纠正措施</w:t>
      </w:r>
      <w:r>
        <w:rPr>
          <w:rFonts w:hint="eastAsia" w:asciiTheme="minorEastAsia" w:hAnsiTheme="minorEastAsia" w:eastAsiaTheme="minorEastAsia" w:cstheme="minorEastAsia"/>
          <w:color w:val="000000"/>
          <w:sz w:val="32"/>
          <w:szCs w:val="32"/>
        </w:rPr>
        <w:t>。</w:t>
      </w:r>
    </w:p>
    <w:p>
      <w:pPr>
        <w:numPr>
          <w:ilvl w:val="1"/>
          <w:numId w:val="12"/>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无创血糖监测产品需要同其他医疗器械一起安装或者联合使用时，应当注明联合使用器械的要求、使用方法、注意事项</w:t>
      </w:r>
      <w:r>
        <w:rPr>
          <w:rFonts w:hint="eastAsia" w:asciiTheme="minorEastAsia" w:hAnsiTheme="minorEastAsia" w:eastAsiaTheme="minorEastAsia" w:cstheme="minorEastAsia"/>
          <w:color w:val="000000"/>
          <w:sz w:val="32"/>
          <w:szCs w:val="32"/>
        </w:rPr>
        <w:t>。</w:t>
      </w:r>
    </w:p>
    <w:p>
      <w:pPr>
        <w:numPr>
          <w:ilvl w:val="1"/>
          <w:numId w:val="12"/>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在使用过程中，与其他产品可能产生的相互干扰及其可能出现的危害</w:t>
      </w:r>
      <w:r>
        <w:rPr>
          <w:rFonts w:hint="eastAsia" w:asciiTheme="minorEastAsia" w:hAnsiTheme="minorEastAsia" w:eastAsiaTheme="minorEastAsia" w:cstheme="minorEastAsia"/>
          <w:color w:val="000000"/>
          <w:sz w:val="32"/>
          <w:szCs w:val="32"/>
        </w:rPr>
        <w:t>。</w:t>
      </w:r>
    </w:p>
    <w:p>
      <w:pPr>
        <w:numPr>
          <w:ilvl w:val="1"/>
          <w:numId w:val="12"/>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无创血糖监测产品使用中可能带来的不良事件或者无创血糖监测产品成分中含有的可能引起副作用的成分或者辅料</w:t>
      </w:r>
      <w:r>
        <w:rPr>
          <w:rFonts w:hint="eastAsia" w:asciiTheme="minorEastAsia" w:hAnsiTheme="minorEastAsia" w:eastAsiaTheme="minorEastAsia" w:cstheme="minorEastAsia"/>
          <w:color w:val="000000"/>
          <w:sz w:val="32"/>
          <w:szCs w:val="32"/>
        </w:rPr>
        <w:t>。</w:t>
      </w:r>
    </w:p>
    <w:p>
      <w:pPr>
        <w:numPr>
          <w:ilvl w:val="0"/>
          <w:numId w:val="11"/>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无创血糖估算的校准</w:t>
      </w:r>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申请人应明确无创血糖监测产品使用中是否需要校准。如需要，申请人应明确推荐用于</w:t>
      </w:r>
      <w:r>
        <w:rPr>
          <w:rFonts w:hint="eastAsia" w:asciiTheme="minorEastAsia" w:hAnsiTheme="minorEastAsia" w:eastAsiaTheme="minorEastAsia" w:cstheme="minorEastAsia"/>
          <w:sz w:val="32"/>
          <w:szCs w:val="32"/>
        </w:rPr>
        <w:t>无创血糖检测结果</w:t>
      </w:r>
      <w:r>
        <w:rPr>
          <w:rFonts w:hint="eastAsia" w:asciiTheme="minorEastAsia" w:hAnsiTheme="minorEastAsia" w:eastAsiaTheme="minorEastAsia" w:cstheme="minorEastAsia"/>
          <w:color w:val="000000"/>
          <w:sz w:val="32"/>
          <w:szCs w:val="32"/>
        </w:rPr>
        <w:t>校准的医疗器械基本信息，例如</w:t>
      </w:r>
      <w:r>
        <w:rPr>
          <w:rFonts w:hint="eastAsia" w:asciiTheme="minorEastAsia" w:hAnsiTheme="minorEastAsia" w:eastAsiaTheme="minorEastAsia" w:cstheme="minorEastAsia"/>
          <w:sz w:val="32"/>
          <w:szCs w:val="32"/>
        </w:rPr>
        <w:t>医疗器械注册证编号、注册人名称、产品名称、型号规格等</w:t>
      </w:r>
      <w:r>
        <w:rPr>
          <w:rFonts w:hint="eastAsia" w:asciiTheme="minorEastAsia" w:hAnsiTheme="minorEastAsia" w:eastAsiaTheme="minorEastAsia" w:cstheme="minorEastAsia"/>
          <w:color w:val="000000"/>
          <w:sz w:val="32"/>
          <w:szCs w:val="32"/>
        </w:rPr>
        <w:t>。</w:t>
      </w:r>
    </w:p>
    <w:p>
      <w:pPr>
        <w:spacing w:line="520" w:lineRule="exact"/>
        <w:ind w:firstLine="64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申请人应明确无创血糖估算的校准程序、校准方法、校准质量控制要求和注意事项。并明确校准的关键信息，例如，启动校准程序的条件、最低的和推荐的校准持续时间和校准次数、推荐的校准时间表等。</w:t>
      </w:r>
    </w:p>
    <w:p>
      <w:pPr>
        <w:numPr>
          <w:ilvl w:val="0"/>
          <w:numId w:val="11"/>
        </w:numPr>
        <w:spacing w:line="520" w:lineRule="exact"/>
        <w:ind w:left="0" w:firstLine="640" w:firstLineChars="200"/>
        <w:outlineLvl w:val="2"/>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预期使用环境</w:t>
      </w:r>
      <w:r>
        <w:rPr>
          <w:rFonts w:hint="eastAsia" w:asciiTheme="minorEastAsia" w:hAnsiTheme="minorEastAsia" w:eastAsiaTheme="minorEastAsia" w:cstheme="minorEastAsia"/>
          <w:color w:val="000000"/>
          <w:sz w:val="32"/>
          <w:szCs w:val="32"/>
        </w:rPr>
        <w:t>要求</w:t>
      </w:r>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按照</w:t>
      </w:r>
      <w:r>
        <w:rPr>
          <w:rFonts w:hint="eastAsia" w:asciiTheme="minorEastAsia" w:hAnsiTheme="minorEastAsia" w:eastAsiaTheme="minorEastAsia" w:cstheme="minorEastAsia"/>
          <w:bCs/>
          <w:color w:val="000000"/>
          <w:sz w:val="32"/>
          <w:szCs w:val="32"/>
        </w:rPr>
        <w:fldChar w:fldCharType="begin"/>
      </w:r>
      <w:r>
        <w:rPr>
          <w:rFonts w:hint="eastAsia" w:asciiTheme="minorEastAsia" w:hAnsiTheme="minorEastAsia" w:eastAsiaTheme="minorEastAsia" w:cstheme="minorEastAsia"/>
          <w:bCs/>
          <w:color w:val="000000"/>
          <w:sz w:val="32"/>
          <w:szCs w:val="32"/>
        </w:rPr>
        <w:instrText xml:space="preserve"> REF _Ref112669049 \h </w:instrText>
      </w:r>
      <w:r>
        <w:rPr>
          <w:rFonts w:hint="eastAsia" w:asciiTheme="minorEastAsia" w:hAnsiTheme="minorEastAsia" w:eastAsiaTheme="minorEastAsia" w:cstheme="minorEastAsia"/>
          <w:bCs/>
          <w:color w:val="000000"/>
          <w:sz w:val="32"/>
          <w:szCs w:val="32"/>
        </w:rPr>
        <w:instrText xml:space="preserve"> \* MERGEFORMAT </w:instrText>
      </w:r>
      <w:r>
        <w:rPr>
          <w:rFonts w:hint="eastAsia" w:asciiTheme="minorEastAsia" w:hAnsiTheme="minorEastAsia" w:eastAsiaTheme="minorEastAsia" w:cstheme="minorEastAsia"/>
          <w:bCs/>
          <w:color w:val="000000"/>
          <w:sz w:val="32"/>
          <w:szCs w:val="32"/>
        </w:rPr>
        <w:fldChar w:fldCharType="separate"/>
      </w:r>
      <w:r>
        <w:rPr>
          <w:rFonts w:hint="eastAsia" w:asciiTheme="minorEastAsia" w:hAnsiTheme="minorEastAsia" w:eastAsiaTheme="minorEastAsia" w:cstheme="minorEastAsia"/>
          <w:color w:val="000000"/>
          <w:sz w:val="32"/>
          <w:szCs w:val="32"/>
        </w:rPr>
        <w:t>预期使用环境</w:t>
      </w:r>
      <w:r>
        <w:rPr>
          <w:rFonts w:hint="eastAsia" w:asciiTheme="minorEastAsia" w:hAnsiTheme="minorEastAsia" w:eastAsiaTheme="minorEastAsia" w:cstheme="minorEastAsia"/>
          <w:bCs/>
          <w:color w:val="000000"/>
          <w:sz w:val="32"/>
          <w:szCs w:val="32"/>
        </w:rPr>
        <w:fldChar w:fldCharType="end"/>
      </w:r>
      <w:r>
        <w:rPr>
          <w:rFonts w:hint="eastAsia" w:asciiTheme="minorEastAsia" w:hAnsiTheme="minorEastAsia" w:eastAsiaTheme="minorEastAsia" w:cstheme="minorEastAsia"/>
          <w:bCs/>
          <w:color w:val="000000"/>
          <w:sz w:val="32"/>
          <w:szCs w:val="32"/>
        </w:rPr>
        <w:t>，结合</w:t>
      </w:r>
      <w:r>
        <w:rPr>
          <w:rFonts w:hint="eastAsia" w:asciiTheme="minorEastAsia" w:hAnsiTheme="minorEastAsia" w:eastAsiaTheme="minorEastAsia" w:cstheme="minorEastAsia"/>
          <w:bCs/>
          <w:color w:val="000000"/>
          <w:sz w:val="32"/>
          <w:szCs w:val="32"/>
        </w:rPr>
        <w:fldChar w:fldCharType="begin"/>
      </w:r>
      <w:r>
        <w:rPr>
          <w:rFonts w:hint="eastAsia" w:asciiTheme="minorEastAsia" w:hAnsiTheme="minorEastAsia" w:eastAsiaTheme="minorEastAsia" w:cstheme="minorEastAsia"/>
          <w:bCs/>
          <w:color w:val="000000"/>
          <w:sz w:val="32"/>
          <w:szCs w:val="32"/>
        </w:rPr>
        <w:instrText xml:space="preserve"> REF _Ref113528485 \h </w:instrText>
      </w:r>
      <w:r>
        <w:rPr>
          <w:rFonts w:hint="eastAsia" w:asciiTheme="minorEastAsia" w:hAnsiTheme="minorEastAsia" w:eastAsiaTheme="minorEastAsia" w:cstheme="minorEastAsia"/>
          <w:bCs/>
          <w:color w:val="000000"/>
          <w:sz w:val="32"/>
          <w:szCs w:val="32"/>
        </w:rPr>
        <w:instrText xml:space="preserve"> \* MERGEFORMAT </w:instrText>
      </w:r>
      <w:r>
        <w:rPr>
          <w:rFonts w:hint="eastAsia" w:asciiTheme="minorEastAsia" w:hAnsiTheme="minorEastAsia" w:eastAsiaTheme="minorEastAsia" w:cstheme="minorEastAsia"/>
          <w:bCs/>
          <w:color w:val="000000"/>
          <w:sz w:val="32"/>
          <w:szCs w:val="32"/>
        </w:rPr>
        <w:fldChar w:fldCharType="separate"/>
      </w:r>
      <w:r>
        <w:rPr>
          <w:rFonts w:hint="eastAsia" w:asciiTheme="minorEastAsia" w:hAnsiTheme="minorEastAsia" w:eastAsiaTheme="minorEastAsia" w:cstheme="minorEastAsia"/>
          <w:color w:val="000000"/>
          <w:sz w:val="32"/>
          <w:szCs w:val="32"/>
        </w:rPr>
        <w:t>产品风险管理资料</w:t>
      </w:r>
      <w:r>
        <w:rPr>
          <w:rFonts w:hint="eastAsia" w:asciiTheme="minorEastAsia" w:hAnsiTheme="minorEastAsia" w:eastAsiaTheme="minorEastAsia" w:cstheme="minorEastAsia"/>
          <w:bCs/>
          <w:color w:val="000000"/>
          <w:sz w:val="32"/>
          <w:szCs w:val="32"/>
        </w:rPr>
        <w:fldChar w:fldCharType="end"/>
      </w:r>
      <w:r>
        <w:rPr>
          <w:rFonts w:hint="eastAsia" w:asciiTheme="minorEastAsia" w:hAnsiTheme="minorEastAsia" w:eastAsiaTheme="minorEastAsia" w:cstheme="minorEastAsia"/>
          <w:bCs/>
          <w:color w:val="000000"/>
          <w:sz w:val="32"/>
          <w:szCs w:val="32"/>
        </w:rPr>
        <w:t>、</w:t>
      </w:r>
      <w:r>
        <w:rPr>
          <w:rFonts w:hint="eastAsia" w:asciiTheme="minorEastAsia" w:hAnsiTheme="minorEastAsia" w:eastAsiaTheme="minorEastAsia" w:cstheme="minorEastAsia"/>
          <w:bCs/>
          <w:color w:val="000000"/>
          <w:sz w:val="32"/>
          <w:szCs w:val="32"/>
        </w:rPr>
        <w:fldChar w:fldCharType="begin"/>
      </w:r>
      <w:r>
        <w:rPr>
          <w:rFonts w:hint="eastAsia" w:asciiTheme="minorEastAsia" w:hAnsiTheme="minorEastAsia" w:eastAsiaTheme="minorEastAsia" w:cstheme="minorEastAsia"/>
          <w:bCs/>
          <w:color w:val="000000"/>
          <w:sz w:val="32"/>
          <w:szCs w:val="32"/>
        </w:rPr>
        <w:instrText xml:space="preserve"> REF _Ref113528513 \h </w:instrText>
      </w:r>
      <w:r>
        <w:rPr>
          <w:rFonts w:hint="eastAsia" w:asciiTheme="minorEastAsia" w:hAnsiTheme="minorEastAsia" w:eastAsiaTheme="minorEastAsia" w:cstheme="minorEastAsia"/>
          <w:bCs/>
          <w:color w:val="000000"/>
          <w:sz w:val="32"/>
          <w:szCs w:val="32"/>
        </w:rPr>
        <w:instrText xml:space="preserve"> \* MERGEFORMAT </w:instrText>
      </w:r>
      <w:r>
        <w:rPr>
          <w:rFonts w:hint="eastAsia" w:asciiTheme="minorEastAsia" w:hAnsiTheme="minorEastAsia" w:eastAsiaTheme="minorEastAsia" w:cstheme="minorEastAsia"/>
          <w:bCs/>
          <w:color w:val="000000"/>
          <w:sz w:val="32"/>
          <w:szCs w:val="32"/>
        </w:rPr>
        <w:fldChar w:fldCharType="separate"/>
      </w:r>
      <w:r>
        <w:rPr>
          <w:rFonts w:hint="eastAsia" w:asciiTheme="minorEastAsia" w:hAnsiTheme="minorEastAsia" w:eastAsiaTheme="minorEastAsia" w:cstheme="minorEastAsia"/>
          <w:color w:val="000000"/>
          <w:sz w:val="32"/>
          <w:szCs w:val="32"/>
        </w:rPr>
        <w:t>研究资料</w:t>
      </w:r>
      <w:r>
        <w:rPr>
          <w:rFonts w:hint="eastAsia" w:asciiTheme="minorEastAsia" w:hAnsiTheme="minorEastAsia" w:eastAsiaTheme="minorEastAsia" w:cstheme="minorEastAsia"/>
          <w:bCs/>
          <w:color w:val="000000"/>
          <w:sz w:val="32"/>
          <w:szCs w:val="32"/>
        </w:rPr>
        <w:fldChar w:fldCharType="end"/>
      </w:r>
      <w:r>
        <w:rPr>
          <w:rFonts w:hint="eastAsia" w:asciiTheme="minorEastAsia" w:hAnsiTheme="minorEastAsia" w:eastAsiaTheme="minorEastAsia" w:cstheme="minorEastAsia"/>
          <w:bCs/>
          <w:color w:val="000000"/>
          <w:sz w:val="32"/>
          <w:szCs w:val="32"/>
        </w:rPr>
        <w:t>的内容，申请人应明确推荐的无创血糖监测产品预期使用地点和环境条件</w:t>
      </w:r>
      <w:r>
        <w:rPr>
          <w:rFonts w:hint="eastAsia" w:asciiTheme="minorEastAsia" w:hAnsiTheme="minorEastAsia" w:eastAsiaTheme="minorEastAsia" w:cstheme="minorEastAsia"/>
          <w:sz w:val="32"/>
          <w:szCs w:val="32"/>
        </w:rPr>
        <w:t>。对于</w:t>
      </w:r>
      <w:r>
        <w:rPr>
          <w:rFonts w:hint="eastAsia" w:asciiTheme="minorEastAsia" w:hAnsiTheme="minorEastAsia" w:eastAsiaTheme="minorEastAsia" w:cstheme="minorEastAsia"/>
          <w:bCs/>
          <w:color w:val="000000"/>
          <w:sz w:val="32"/>
          <w:szCs w:val="32"/>
        </w:rPr>
        <w:t>可能影响无创血糖监测产品安全性和有效性的环境条件，如温度、湿度、压力、移动、振动、海拔等，申请人应提供</w:t>
      </w:r>
      <w:r>
        <w:rPr>
          <w:rFonts w:hint="eastAsia" w:asciiTheme="minorEastAsia" w:hAnsiTheme="minorEastAsia" w:eastAsiaTheme="minorEastAsia" w:cstheme="minorEastAsia"/>
          <w:color w:val="000000"/>
          <w:sz w:val="32"/>
          <w:szCs w:val="32"/>
        </w:rPr>
        <w:t>注意事项、警示以及提示性内容</w:t>
      </w:r>
      <w:r>
        <w:rPr>
          <w:rFonts w:hint="eastAsia" w:asciiTheme="minorEastAsia" w:hAnsiTheme="minorEastAsia" w:eastAsiaTheme="minorEastAsia" w:cstheme="minorEastAsia"/>
          <w:bCs/>
          <w:color w:val="000000"/>
          <w:sz w:val="32"/>
          <w:szCs w:val="32"/>
        </w:rPr>
        <w:t>。</w:t>
      </w:r>
    </w:p>
    <w:p>
      <w:pPr>
        <w:numPr>
          <w:ilvl w:val="0"/>
          <w:numId w:val="1"/>
        </w:numPr>
        <w:spacing w:line="520" w:lineRule="exact"/>
        <w:ind w:left="0" w:firstLine="640" w:firstLineChars="200"/>
        <w:outlineLvl w:val="0"/>
        <w:rPr>
          <w:rFonts w:hint="eastAsia" w:asciiTheme="minorEastAsia" w:hAnsiTheme="minorEastAsia" w:eastAsiaTheme="minorEastAsia" w:cstheme="minorEastAsia"/>
          <w:sz w:val="32"/>
          <w:szCs w:val="32"/>
        </w:rPr>
      </w:pPr>
      <w:bookmarkStart w:id="77" w:name="_Toc112680052"/>
      <w:bookmarkStart w:id="78" w:name="_Toc28594"/>
      <w:bookmarkStart w:id="79" w:name="_Toc467833260"/>
      <w:bookmarkStart w:id="80" w:name="_Toc24966881"/>
      <w:bookmarkStart w:id="81" w:name="_Toc432753654"/>
      <w:r>
        <w:rPr>
          <w:rFonts w:hint="eastAsia" w:asciiTheme="minorEastAsia" w:hAnsiTheme="minorEastAsia" w:eastAsiaTheme="minorEastAsia" w:cstheme="minorEastAsia"/>
          <w:sz w:val="32"/>
          <w:szCs w:val="32"/>
        </w:rPr>
        <w:t>参考文献</w:t>
      </w:r>
      <w:bookmarkEnd w:id="77"/>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国家市场监督管理总局.</w:t>
      </w:r>
      <w:r>
        <w:rPr>
          <w:rFonts w:hint="eastAsia" w:asciiTheme="minorEastAsia" w:hAnsiTheme="minorEastAsia" w:eastAsiaTheme="minorEastAsia" w:cstheme="minorEastAsia"/>
          <w:sz w:val="32"/>
          <w:szCs w:val="32"/>
        </w:rPr>
        <w:t>医疗器械注册与备案管理办法</w:t>
      </w:r>
      <w:r>
        <w:rPr>
          <w:rFonts w:hint="eastAsia" w:asciiTheme="minorEastAsia" w:hAnsiTheme="minorEastAsia" w:eastAsiaTheme="minorEastAsia" w:cstheme="minorEastAsia"/>
          <w:sz w:val="32"/>
          <w:szCs w:val="32"/>
        </w:rPr>
        <w:t>：国家市场监督管理总局令第47号</w:t>
      </w:r>
      <w:r>
        <w:rPr>
          <w:rFonts w:hint="eastAsia" w:asciiTheme="minorEastAsia" w:hAnsiTheme="minorEastAsia" w:eastAsiaTheme="minorEastAsia" w:cstheme="minorEastAsia"/>
          <w:sz w:val="32"/>
          <w:szCs w:val="32"/>
        </w:rPr>
        <w:t>[Z]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国家市场监督管理总局.医疗器械生产监督管理办法：国家市场监督管理总局令第53号</w:t>
      </w:r>
      <w:r>
        <w:rPr>
          <w:rFonts w:hint="eastAsia" w:asciiTheme="minorEastAsia" w:hAnsiTheme="minorEastAsia" w:eastAsiaTheme="minorEastAsia" w:cstheme="minorEastAsia"/>
          <w:sz w:val="32"/>
          <w:szCs w:val="32"/>
        </w:rPr>
        <w:t>[Z]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国家食品药品监督管理总局.医疗器械说明书和标签管理规定：国家食品药品监督管理总局令第6号</w:t>
      </w:r>
      <w:r>
        <w:rPr>
          <w:rFonts w:hint="eastAsia" w:asciiTheme="minorEastAsia" w:hAnsiTheme="minorEastAsia" w:eastAsiaTheme="minorEastAsia" w:cstheme="minorEastAsia"/>
          <w:kern w:val="0"/>
          <w:sz w:val="32"/>
          <w:szCs w:val="32"/>
        </w:rPr>
        <w:t>[Z]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国家食品药品监督管理总局.</w:t>
      </w:r>
      <w:r>
        <w:rPr>
          <w:rFonts w:hint="eastAsia" w:asciiTheme="minorEastAsia" w:hAnsiTheme="minorEastAsia" w:eastAsiaTheme="minorEastAsia" w:cstheme="minorEastAsia"/>
          <w:sz w:val="32"/>
          <w:szCs w:val="32"/>
        </w:rPr>
        <w:t>医疗器械分类规则</w:t>
      </w:r>
      <w:r>
        <w:rPr>
          <w:rFonts w:hint="eastAsia" w:asciiTheme="minorEastAsia" w:hAnsiTheme="minorEastAsia" w:eastAsiaTheme="minorEastAsia" w:cstheme="minorEastAsia"/>
          <w:sz w:val="32"/>
          <w:szCs w:val="32"/>
        </w:rPr>
        <w:t>：国家食品药品监督管理总局令第15号</w:t>
      </w:r>
      <w:r>
        <w:rPr>
          <w:rFonts w:hint="eastAsia" w:asciiTheme="minorEastAsia" w:hAnsiTheme="minorEastAsia" w:eastAsiaTheme="minorEastAsia" w:cstheme="minorEastAsia"/>
          <w:sz w:val="32"/>
          <w:szCs w:val="32"/>
        </w:rPr>
        <w:t>[Z]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国家市场监督管理总局.</w:t>
      </w:r>
      <w:r>
        <w:rPr>
          <w:rFonts w:hint="eastAsia" w:asciiTheme="minorEastAsia" w:hAnsiTheme="minorEastAsia" w:eastAsiaTheme="minorEastAsia" w:cstheme="minorEastAsia"/>
          <w:sz w:val="32"/>
          <w:szCs w:val="32"/>
        </w:rPr>
        <w:t>医疗器械不良事件监测和再评价管理办法</w:t>
      </w:r>
      <w:r>
        <w:rPr>
          <w:rFonts w:hint="eastAsia" w:asciiTheme="minorEastAsia" w:hAnsiTheme="minorEastAsia" w:eastAsiaTheme="minorEastAsia" w:cstheme="minorEastAsia"/>
          <w:sz w:val="32"/>
          <w:szCs w:val="32"/>
        </w:rPr>
        <w:t>：国家市场监督管理总局、国家卫生健康委员会令第1号</w:t>
      </w:r>
      <w:r>
        <w:rPr>
          <w:rFonts w:hint="eastAsia" w:asciiTheme="minorEastAsia" w:hAnsiTheme="minorEastAsia" w:eastAsiaTheme="minorEastAsia" w:cstheme="minorEastAsia"/>
          <w:sz w:val="32"/>
          <w:szCs w:val="32"/>
        </w:rPr>
        <w:t>[Z].</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国家食品药品监督管理总局.</w:t>
      </w:r>
      <w:r>
        <w:rPr>
          <w:rFonts w:hint="eastAsia" w:asciiTheme="minorEastAsia" w:hAnsiTheme="minorEastAsia" w:eastAsiaTheme="minorEastAsia" w:cstheme="minorEastAsia"/>
          <w:sz w:val="32"/>
          <w:szCs w:val="32"/>
        </w:rPr>
        <w:t>医疗器械召回管理办法</w:t>
      </w:r>
      <w:r>
        <w:rPr>
          <w:rFonts w:hint="eastAsia" w:asciiTheme="minorEastAsia" w:hAnsiTheme="minorEastAsia" w:eastAsiaTheme="minorEastAsia" w:cstheme="minorEastAsia"/>
          <w:sz w:val="32"/>
          <w:szCs w:val="32"/>
        </w:rPr>
        <w:t>：国家食品药品监督管理总局令第29号</w:t>
      </w:r>
      <w:r>
        <w:rPr>
          <w:rFonts w:hint="eastAsia" w:asciiTheme="minorEastAsia" w:hAnsiTheme="minorEastAsia" w:eastAsiaTheme="minorEastAsia" w:cstheme="minorEastAsia"/>
          <w:sz w:val="32"/>
          <w:szCs w:val="32"/>
        </w:rPr>
        <w:t>[Z]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国家食品药品监督管理总局.医疗器械通用名称命名规则:</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32"/>
          <w:szCs w:val="32"/>
        </w:rPr>
        <w:t>国家食品药品监督管理总局令第19号</w:t>
      </w:r>
      <w:r>
        <w:rPr>
          <w:rFonts w:hint="eastAsia" w:asciiTheme="minorEastAsia" w:hAnsiTheme="minorEastAsia" w:eastAsiaTheme="minorEastAsia" w:cstheme="minorEastAsia"/>
          <w:sz w:val="32"/>
          <w:szCs w:val="32"/>
        </w:rPr>
        <w:t>[Z].</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医疗器械注册申报资料要求和批准证明文件格式</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2021年第121号公告[Z]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医疗器械注册自检管理规定</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2021年第126号公告[Z]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医疗器械安全和性能的基本原则</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2020年第18号通告[Z]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国家药品监督管理局医疗器械技术审评中心.医疗器械安全和性能基本原则符合性技术指南：国家药品监督管理局医疗器械技术审评中心2022年第29号通告</w:t>
      </w:r>
      <w:r>
        <w:rPr>
          <w:rFonts w:hint="eastAsia" w:asciiTheme="minorEastAsia" w:hAnsiTheme="minorEastAsia" w:eastAsiaTheme="minorEastAsia" w:cstheme="minorEastAsia"/>
          <w:sz w:val="32"/>
          <w:szCs w:val="32"/>
        </w:rPr>
        <w:t>[Z]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医疗器械注册单元划分指导原则</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2017年第187号通告[Z]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国家食品药品监督管理总局.关于乳腺摄影立体定位装置等153个产品分类界定的通知：食药监办械管</w:t>
      </w:r>
      <w:r>
        <w:rPr>
          <w:rFonts w:hint="eastAsia" w:asciiTheme="minorEastAsia" w:hAnsiTheme="minorEastAsia" w:eastAsiaTheme="minorEastAsia" w:cstheme="minorEastAsia"/>
          <w:sz w:val="32"/>
          <w:szCs w:val="32"/>
        </w:rPr>
        <w:t>〔2015〕49号[Z].</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医疗器械产品技术要求编写指导原则</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2022年第8号通告[Z]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医疗器械临床评价技术指导原则</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2021年第73号通告[Z]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国家药品监督管理局.脉搏血氧仪设备临床评价技术指导原则：国家食品药品监督管理总局</w:t>
      </w:r>
      <w:r>
        <w:rPr>
          <w:rFonts w:hint="eastAsia" w:asciiTheme="minorEastAsia" w:hAnsiTheme="minorEastAsia" w:eastAsiaTheme="minorEastAsia" w:cstheme="minorEastAsia"/>
          <w:sz w:val="32"/>
          <w:szCs w:val="32"/>
        </w:rPr>
        <w:t>2016年第21号通告[Z]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国家药品监督管理局医疗器械技术审评中心.医疗器械软件注册审查指导原则（2022年修订版）：国家药品监督管理局医疗器械技术审评中心</w:t>
      </w:r>
      <w:r>
        <w:rPr>
          <w:rFonts w:hint="eastAsia" w:asciiTheme="minorEastAsia" w:hAnsiTheme="minorEastAsia" w:eastAsiaTheme="minorEastAsia" w:cstheme="minorEastAsia"/>
          <w:sz w:val="32"/>
          <w:szCs w:val="32"/>
        </w:rPr>
        <w:t>2022年第</w:t>
      </w:r>
      <w:r>
        <w:rPr>
          <w:rFonts w:hint="eastAsia" w:asciiTheme="minorEastAsia" w:hAnsiTheme="minorEastAsia" w:eastAsiaTheme="minorEastAsia" w:cstheme="minorEastAsia"/>
          <w:sz w:val="32"/>
          <w:szCs w:val="32"/>
        </w:rPr>
        <w:t>9</w:t>
      </w:r>
      <w:r>
        <w:rPr>
          <w:rFonts w:hint="eastAsia" w:asciiTheme="minorEastAsia" w:hAnsiTheme="minorEastAsia" w:eastAsiaTheme="minorEastAsia" w:cstheme="minorEastAsia"/>
          <w:sz w:val="32"/>
          <w:szCs w:val="32"/>
        </w:rPr>
        <w:t>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国家药品监督管理局医疗器械技术审评中心.医疗器械网络安全注册审查指导原则（2022年修订版）：国家药品监督管理局医疗器械技术审评中心</w:t>
      </w:r>
      <w:r>
        <w:rPr>
          <w:rFonts w:hint="eastAsia" w:asciiTheme="minorEastAsia" w:hAnsiTheme="minorEastAsia" w:eastAsiaTheme="minorEastAsia" w:cstheme="minorEastAsia"/>
          <w:sz w:val="32"/>
          <w:szCs w:val="32"/>
        </w:rPr>
        <w:t>2022年第</w:t>
      </w:r>
      <w:r>
        <w:rPr>
          <w:rFonts w:hint="eastAsia" w:asciiTheme="minorEastAsia" w:hAnsiTheme="minorEastAsia" w:eastAsiaTheme="minorEastAsia" w:cstheme="minorEastAsia"/>
          <w:sz w:val="32"/>
          <w:szCs w:val="32"/>
        </w:rPr>
        <w:t>7</w:t>
      </w:r>
      <w:r>
        <w:rPr>
          <w:rFonts w:hint="eastAsia" w:asciiTheme="minorEastAsia" w:hAnsiTheme="minorEastAsia" w:eastAsiaTheme="minorEastAsia" w:cstheme="minorEastAsia"/>
          <w:sz w:val="32"/>
          <w:szCs w:val="32"/>
        </w:rPr>
        <w:t>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移动医疗器械注册技术审查指导原则</w:t>
      </w:r>
      <w:r>
        <w:rPr>
          <w:rFonts w:hint="eastAsia" w:asciiTheme="minorEastAsia" w:hAnsiTheme="minorEastAsia" w:eastAsiaTheme="minorEastAsia" w:cstheme="minorEastAsia"/>
          <w:sz w:val="32"/>
          <w:szCs w:val="32"/>
        </w:rPr>
        <w:t>：国家食品药品监督管理总局</w:t>
      </w:r>
      <w:r>
        <w:rPr>
          <w:rFonts w:hint="eastAsia" w:asciiTheme="minorEastAsia" w:hAnsiTheme="minorEastAsia" w:eastAsiaTheme="minorEastAsia" w:cstheme="minorEastAsia"/>
          <w:sz w:val="32"/>
          <w:szCs w:val="32"/>
        </w:rPr>
        <w:t>2017年第222号通告[Z]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有源医疗器械使用期限注册技术审查指导原则</w:t>
      </w:r>
      <w:r>
        <w:rPr>
          <w:rFonts w:hint="eastAsia" w:asciiTheme="minorEastAsia" w:hAnsiTheme="minorEastAsia" w:eastAsiaTheme="minorEastAsia" w:cstheme="minorEastAsia"/>
          <w:sz w:val="32"/>
          <w:szCs w:val="32"/>
        </w:rPr>
        <w:t>：国家药品监督管理局</w:t>
      </w:r>
      <w:r>
        <w:rPr>
          <w:rFonts w:hint="eastAsia" w:asciiTheme="minorEastAsia" w:hAnsiTheme="minorEastAsia" w:eastAsiaTheme="minorEastAsia" w:cstheme="minorEastAsia"/>
          <w:sz w:val="32"/>
          <w:szCs w:val="32"/>
        </w:rPr>
        <w:t>2019年第23号通告[Z]</w:t>
      </w:r>
      <w:r>
        <w:rPr>
          <w:rFonts w:hint="eastAsia" w:asciiTheme="minorEastAsia" w:hAnsiTheme="minorEastAsia" w:eastAsiaTheme="minorEastAsia" w:cstheme="minorEastAsia"/>
          <w:sz w:val="32"/>
          <w:szCs w:val="32"/>
        </w:rPr>
        <w:t>.</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中华医学会糖尿病分会.中国血糖监测临床应用指南（2021年版）</w:t>
      </w:r>
      <w:r>
        <w:rPr>
          <w:rFonts w:hint="eastAsia" w:asciiTheme="minorEastAsia" w:hAnsiTheme="minorEastAsia" w:eastAsiaTheme="minorEastAsia" w:cstheme="minorEastAsia"/>
          <w:sz w:val="32"/>
          <w:szCs w:val="32"/>
        </w:rPr>
        <w:t>[Z].</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中华人民共和国国家卫生健康委员会.WS</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T 781便携式血糖仪临床操作和质量管理指南[S].</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Food and Drug Administration. Self-Monitoring Blood Glucose Test Systems for Over-the-Counter Use[Z].</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International Organization for Standardization. ISO 15197, In vitro diagnostic test systems - Requirements for blood-glucose monitoring systems for self-testing in managing diabetes mellitus[S].</w:t>
      </w:r>
    </w:p>
    <w:p>
      <w:pPr>
        <w:numPr>
          <w:ilvl w:val="0"/>
          <w:numId w:val="13"/>
        </w:numPr>
        <w:overflowPunct w:val="0"/>
        <w:spacing w:line="520" w:lineRule="exact"/>
        <w:ind w:left="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The American Society of Mechanical Engineers. ASME V&amp;V 40 Assessing Credibility of Computational Modeling through Verification and Validation: Application to Medical Devices[S].</w:t>
      </w:r>
    </w:p>
    <w:p>
      <w:pPr>
        <w:numPr>
          <w:ilvl w:val="0"/>
          <w:numId w:val="13"/>
        </w:numPr>
        <w:overflowPunct w:val="0"/>
        <w:spacing w:line="520" w:lineRule="exact"/>
        <w:ind w:left="0"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Food and Drug Administration. Reporting of Computational Modeling Studies in Medical Device Submissions[Z].</w:t>
      </w:r>
    </w:p>
    <w:bookmarkEnd w:id="78"/>
    <w:bookmarkEnd w:id="79"/>
    <w:bookmarkEnd w:id="80"/>
    <w:bookmarkEnd w:id="81"/>
    <w:p>
      <w:pPr>
        <w:overflowPunct w:val="0"/>
        <w:spacing w:line="520" w:lineRule="exact"/>
        <w:jc w:val="left"/>
        <w:rPr>
          <w:rFonts w:hint="eastAsia" w:asciiTheme="minorEastAsia" w:hAnsiTheme="minorEastAsia" w:eastAsiaTheme="minorEastAsia" w:cstheme="minorEastAsia"/>
          <w:color w:val="000000"/>
          <w:spacing w:val="-6"/>
          <w:sz w:val="32"/>
          <w:szCs w:val="2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9"/>
        <w:gridCol w:w="6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restart"/>
          </w:tcPr>
          <w:p>
            <w:pPr>
              <w:overflowPunct w:val="0"/>
              <w:adjustRightInd w:val="0"/>
              <w:snapToGrid w:val="0"/>
              <w:spacing w:line="520" w:lineRule="exact"/>
              <w:jc w:val="left"/>
              <w:rPr>
                <w:rFonts w:hint="eastAsia" w:asciiTheme="minorEastAsia" w:hAnsiTheme="minorEastAsia" w:eastAsiaTheme="minorEastAsia" w:cstheme="minorEastAsia"/>
                <w:color w:val="000000"/>
                <w:spacing w:val="-6"/>
                <w:sz w:val="32"/>
                <w:szCs w:val="28"/>
              </w:rPr>
            </w:pPr>
            <w:r>
              <w:rPr>
                <w:rFonts w:hint="eastAsia" w:asciiTheme="minorEastAsia" w:hAnsiTheme="minorEastAsia" w:eastAsiaTheme="minorEastAsia" w:cstheme="minorEastAsia"/>
                <w:color w:val="000000"/>
                <w:spacing w:val="-6"/>
                <w:sz w:val="32"/>
                <w:szCs w:val="28"/>
              </w:rPr>
              <w:t>附件：</w:t>
            </w:r>
          </w:p>
        </w:tc>
        <w:tc>
          <w:tcPr>
            <w:tcW w:w="6441" w:type="dxa"/>
          </w:tcPr>
          <w:p>
            <w:pPr>
              <w:numPr>
                <w:ilvl w:val="0"/>
                <w:numId w:val="14"/>
              </w:numPr>
              <w:overflowPunct w:val="0"/>
              <w:adjustRightInd w:val="0"/>
              <w:snapToGrid w:val="0"/>
              <w:spacing w:line="520" w:lineRule="exact"/>
              <w:jc w:val="left"/>
              <w:rPr>
                <w:rFonts w:hint="eastAsia" w:asciiTheme="minorEastAsia" w:hAnsiTheme="minorEastAsia" w:eastAsiaTheme="minorEastAsia" w:cstheme="minorEastAsia"/>
                <w:color w:val="000000"/>
                <w:spacing w:val="-6"/>
                <w:sz w:val="32"/>
                <w:szCs w:val="28"/>
              </w:rPr>
            </w:pPr>
            <w:r>
              <w:rPr>
                <w:rFonts w:hint="eastAsia" w:asciiTheme="minorEastAsia" w:hAnsiTheme="minorEastAsia" w:eastAsiaTheme="minorEastAsia" w:cstheme="minorEastAsia"/>
                <w:color w:val="000000"/>
                <w:spacing w:val="-6"/>
                <w:sz w:val="32"/>
                <w:szCs w:val="28"/>
              </w:rPr>
              <w:t>风险管理资料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pPr>
              <w:overflowPunct w:val="0"/>
              <w:adjustRightInd w:val="0"/>
              <w:snapToGrid w:val="0"/>
              <w:spacing w:line="520" w:lineRule="exact"/>
              <w:jc w:val="left"/>
              <w:rPr>
                <w:rFonts w:hint="eastAsia" w:asciiTheme="minorEastAsia" w:hAnsiTheme="minorEastAsia" w:eastAsiaTheme="minorEastAsia" w:cstheme="minorEastAsia"/>
                <w:color w:val="000000"/>
                <w:spacing w:val="-6"/>
                <w:sz w:val="32"/>
                <w:szCs w:val="28"/>
              </w:rPr>
            </w:pPr>
          </w:p>
        </w:tc>
        <w:tc>
          <w:tcPr>
            <w:tcW w:w="6441" w:type="dxa"/>
          </w:tcPr>
          <w:p>
            <w:pPr>
              <w:numPr>
                <w:ilvl w:val="0"/>
                <w:numId w:val="14"/>
              </w:numPr>
              <w:overflowPunct w:val="0"/>
              <w:adjustRightInd w:val="0"/>
              <w:snapToGrid w:val="0"/>
              <w:spacing w:line="520" w:lineRule="exact"/>
              <w:jc w:val="left"/>
              <w:rPr>
                <w:rFonts w:hint="eastAsia" w:asciiTheme="minorEastAsia" w:hAnsiTheme="minorEastAsia" w:eastAsiaTheme="minorEastAsia" w:cstheme="minorEastAsia"/>
                <w:color w:val="000000"/>
                <w:spacing w:val="-6"/>
                <w:sz w:val="32"/>
                <w:szCs w:val="28"/>
              </w:rPr>
            </w:pPr>
            <w:r>
              <w:rPr>
                <w:rFonts w:hint="eastAsia" w:asciiTheme="minorEastAsia" w:hAnsiTheme="minorEastAsia" w:eastAsiaTheme="minorEastAsia" w:cstheme="minorEastAsia"/>
                <w:color w:val="000000"/>
                <w:spacing w:val="-6"/>
                <w:sz w:val="32"/>
                <w:szCs w:val="28"/>
              </w:rPr>
              <w:t>无创血糖监测产品宜参考的现行有效标准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pPr>
              <w:overflowPunct w:val="0"/>
              <w:adjustRightInd w:val="0"/>
              <w:snapToGrid w:val="0"/>
              <w:spacing w:line="520" w:lineRule="exact"/>
              <w:jc w:val="left"/>
              <w:rPr>
                <w:rFonts w:hint="eastAsia" w:asciiTheme="minorEastAsia" w:hAnsiTheme="minorEastAsia" w:eastAsiaTheme="minorEastAsia" w:cstheme="minorEastAsia"/>
                <w:color w:val="000000"/>
                <w:spacing w:val="-6"/>
                <w:sz w:val="32"/>
                <w:szCs w:val="28"/>
              </w:rPr>
            </w:pPr>
          </w:p>
        </w:tc>
        <w:tc>
          <w:tcPr>
            <w:tcW w:w="6441" w:type="dxa"/>
          </w:tcPr>
          <w:p>
            <w:pPr>
              <w:numPr>
                <w:ilvl w:val="0"/>
                <w:numId w:val="14"/>
              </w:numPr>
              <w:overflowPunct w:val="0"/>
              <w:adjustRightInd w:val="0"/>
              <w:snapToGrid w:val="0"/>
              <w:spacing w:line="520" w:lineRule="exact"/>
              <w:jc w:val="left"/>
              <w:rPr>
                <w:rFonts w:hint="eastAsia" w:asciiTheme="minorEastAsia" w:hAnsiTheme="minorEastAsia" w:eastAsiaTheme="minorEastAsia" w:cstheme="minorEastAsia"/>
                <w:color w:val="000000"/>
                <w:spacing w:val="-6"/>
                <w:sz w:val="32"/>
                <w:szCs w:val="28"/>
              </w:rPr>
            </w:pPr>
            <w:r>
              <w:rPr>
                <w:rFonts w:hint="eastAsia" w:asciiTheme="minorEastAsia" w:hAnsiTheme="minorEastAsia" w:eastAsiaTheme="minorEastAsia" w:cstheme="minorEastAsia"/>
                <w:color w:val="000000"/>
                <w:spacing w:val="-6"/>
                <w:sz w:val="32"/>
                <w:szCs w:val="28"/>
              </w:rPr>
              <w:t>无创血糖监测产品技术要求模板</w:t>
            </w:r>
          </w:p>
        </w:tc>
      </w:tr>
      <w:bookmarkEnd w:id="2"/>
      <w:bookmarkEnd w:id="3"/>
      <w:bookmarkEnd w:id="4"/>
    </w:tbl>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2"/>
        <w:spacing w:before="0" w:after="0" w:line="520" w:lineRule="exact"/>
        <w:rPr>
          <w:rFonts w:hint="eastAsia" w:asciiTheme="minorEastAsia" w:hAnsiTheme="minorEastAsia" w:eastAsiaTheme="minorEastAsia" w:cstheme="minorEastAsia"/>
          <w:b w:val="0"/>
          <w:bCs w:val="0"/>
          <w:sz w:val="30"/>
          <w:szCs w:val="30"/>
        </w:rPr>
      </w:pPr>
      <w:bookmarkStart w:id="82" w:name="_Ref434177719"/>
      <w:bookmarkStart w:id="83" w:name="_Toc112680055"/>
      <w:bookmarkStart w:id="84" w:name="_Ref443935308"/>
      <w:r>
        <w:rPr>
          <w:rFonts w:hint="eastAsia" w:asciiTheme="minorEastAsia" w:hAnsiTheme="minorEastAsia" w:eastAsiaTheme="minorEastAsia" w:cstheme="minorEastAsia"/>
          <w:b w:val="0"/>
          <w:bCs w:val="0"/>
          <w:sz w:val="30"/>
          <w:szCs w:val="30"/>
        </w:rPr>
        <w:t>附</w:t>
      </w:r>
      <w:bookmarkEnd w:id="82"/>
      <w:r>
        <w:rPr>
          <w:rFonts w:hint="eastAsia" w:asciiTheme="minorEastAsia" w:hAnsiTheme="minorEastAsia" w:eastAsiaTheme="minorEastAsia" w:cstheme="minorEastAsia"/>
          <w:b w:val="0"/>
          <w:bCs w:val="0"/>
          <w:sz w:val="30"/>
          <w:szCs w:val="30"/>
        </w:rPr>
        <w:t>件</w:t>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XE "1" </w:instrTex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sz w:val="30"/>
          <w:szCs w:val="30"/>
        </w:rPr>
        <w:t>1</w:t>
      </w:r>
      <w:bookmarkEnd w:id="83"/>
      <w:bookmarkEnd w:id="84"/>
    </w:p>
    <w:p>
      <w:pPr>
        <w:spacing w:line="520" w:lineRule="exact"/>
        <w:rPr>
          <w:rFonts w:hint="eastAsia" w:asciiTheme="minorEastAsia" w:hAnsiTheme="minorEastAsia" w:eastAsiaTheme="minorEastAsia" w:cstheme="minorEastAsia"/>
          <w:sz w:val="30"/>
          <w:szCs w:val="30"/>
        </w:rPr>
      </w:pPr>
    </w:p>
    <w:p>
      <w:pPr>
        <w:spacing w:line="520" w:lineRule="exact"/>
        <w:jc w:val="center"/>
        <w:outlineLvl w:val="0"/>
        <w:rPr>
          <w:rFonts w:hint="eastAsia" w:asciiTheme="minorEastAsia" w:hAnsiTheme="minorEastAsia" w:eastAsiaTheme="minorEastAsia" w:cstheme="minorEastAsia"/>
          <w:sz w:val="44"/>
          <w:szCs w:val="44"/>
        </w:rPr>
      </w:pPr>
      <w:bookmarkStart w:id="85" w:name="_Toc112680056"/>
      <w:r>
        <w:rPr>
          <w:rFonts w:hint="eastAsia" w:asciiTheme="minorEastAsia" w:hAnsiTheme="minorEastAsia" w:eastAsiaTheme="minorEastAsia" w:cstheme="minorEastAsia"/>
          <w:sz w:val="44"/>
          <w:szCs w:val="44"/>
        </w:rPr>
        <w:t>产品</w:t>
      </w: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 XE "1" </w:instrText>
      </w:r>
      <w:r>
        <w:rPr>
          <w:rFonts w:hint="eastAsia" w:asciiTheme="minorEastAsia" w:hAnsiTheme="minorEastAsia" w:eastAsiaTheme="minorEastAsia" w:cstheme="minorEastAsia"/>
          <w:sz w:val="44"/>
          <w:szCs w:val="44"/>
        </w:rPr>
        <w:fldChar w:fldCharType="end"/>
      </w:r>
      <w:r>
        <w:rPr>
          <w:rFonts w:hint="eastAsia" w:asciiTheme="minorEastAsia" w:hAnsiTheme="minorEastAsia" w:eastAsiaTheme="minorEastAsia" w:cstheme="minorEastAsia"/>
          <w:sz w:val="44"/>
          <w:szCs w:val="44"/>
        </w:rPr>
        <w:t>风险管理资料</w:t>
      </w:r>
      <w:bookmarkEnd w:id="85"/>
    </w:p>
    <w:p>
      <w:pPr>
        <w:spacing w:line="520" w:lineRule="exact"/>
        <w:rPr>
          <w:rFonts w:hint="eastAsia" w:asciiTheme="minorEastAsia" w:hAnsiTheme="minorEastAsia" w:eastAsiaTheme="minorEastAsia" w:cstheme="minorEastAsia"/>
          <w:sz w:val="30"/>
          <w:szCs w:val="30"/>
        </w:rPr>
      </w:pPr>
    </w:p>
    <w:p>
      <w:pPr>
        <w:numPr>
          <w:ilvl w:val="0"/>
          <w:numId w:val="15"/>
        </w:numPr>
        <w:spacing w:line="520" w:lineRule="exact"/>
        <w:ind w:left="0" w:firstLine="640" w:firstLineChars="200"/>
        <w:outlineLvl w:val="0"/>
        <w:rPr>
          <w:rFonts w:hint="eastAsia" w:asciiTheme="minorEastAsia" w:hAnsiTheme="minorEastAsia" w:eastAsiaTheme="minorEastAsia" w:cstheme="minorEastAsia"/>
          <w:sz w:val="32"/>
          <w:szCs w:val="32"/>
        </w:rPr>
      </w:pPr>
      <w:bookmarkStart w:id="86" w:name="OLE_LINK33"/>
      <w:bookmarkStart w:id="87" w:name="OLE_LINK34"/>
      <w:bookmarkStart w:id="88" w:name="_Toc112680057"/>
      <w:r>
        <w:rPr>
          <w:rFonts w:hint="eastAsia" w:asciiTheme="minorEastAsia" w:hAnsiTheme="minorEastAsia" w:eastAsiaTheme="minorEastAsia" w:cstheme="minorEastAsia"/>
          <w:sz w:val="32"/>
          <w:szCs w:val="32"/>
        </w:rPr>
        <w:t>总体要求</w:t>
      </w:r>
      <w:bookmarkEnd w:id="86"/>
      <w:bookmarkEnd w:id="87"/>
      <w:bookmarkEnd w:id="88"/>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Cs/>
          <w:color w:val="000000"/>
          <w:sz w:val="32"/>
          <w:szCs w:val="32"/>
        </w:rPr>
        <w:t>产品</w:t>
      </w:r>
      <w:r>
        <w:rPr>
          <w:rFonts w:hint="eastAsia" w:asciiTheme="minorEastAsia" w:hAnsiTheme="minorEastAsia" w:eastAsiaTheme="minorEastAsia" w:cstheme="minorEastAsia"/>
          <w:color w:val="000000"/>
          <w:sz w:val="32"/>
          <w:szCs w:val="32"/>
        </w:rPr>
        <w:t>风险管理资料是对</w:t>
      </w:r>
      <w:r>
        <w:rPr>
          <w:rFonts w:hint="eastAsia" w:asciiTheme="minorEastAsia" w:hAnsiTheme="minorEastAsia" w:eastAsiaTheme="minorEastAsia" w:cstheme="minorEastAsia"/>
          <w:bCs/>
          <w:color w:val="000000"/>
          <w:sz w:val="32"/>
          <w:szCs w:val="32"/>
        </w:rPr>
        <w:t>产品的</w:t>
      </w:r>
      <w:r>
        <w:rPr>
          <w:rFonts w:hint="eastAsia" w:asciiTheme="minorEastAsia" w:hAnsiTheme="minorEastAsia" w:eastAsiaTheme="minorEastAsia" w:cstheme="minorEastAsia"/>
          <w:color w:val="000000"/>
          <w:sz w:val="32"/>
          <w:szCs w:val="32"/>
        </w:rPr>
        <w:t>风险管理过程及其评审的结果予以记录所形成的资料。风险管理资料主要包含风险管理计划和风险管理报告，还包含风险管理活动相关的其</w:t>
      </w:r>
      <w:r>
        <w:rPr>
          <w:rFonts w:hint="eastAsia" w:asciiTheme="minorEastAsia" w:hAnsiTheme="minorEastAsia" w:eastAsiaTheme="minorEastAsia" w:cstheme="minorEastAsia"/>
          <w:color w:val="000000"/>
          <w:sz w:val="32"/>
          <w:szCs w:val="32"/>
        </w:rPr>
        <w:t>他</w:t>
      </w:r>
      <w:r>
        <w:rPr>
          <w:rFonts w:hint="eastAsia" w:asciiTheme="minorEastAsia" w:hAnsiTheme="minorEastAsia" w:eastAsiaTheme="minorEastAsia" w:cstheme="minorEastAsia"/>
          <w:color w:val="000000"/>
          <w:sz w:val="32"/>
          <w:szCs w:val="32"/>
        </w:rPr>
        <w:t>文档资料及评审记录。</w:t>
      </w:r>
    </w:p>
    <w:p>
      <w:pPr>
        <w:spacing w:line="520" w:lineRule="exact"/>
        <w:ind w:firstLine="640" w:firstLineChars="200"/>
        <w:rPr>
          <w:rFonts w:hint="eastAsia" w:asciiTheme="minorEastAsia" w:hAnsiTheme="minorEastAsia" w:eastAsiaTheme="minorEastAsia" w:cstheme="minorEastAsia"/>
          <w:bCs/>
          <w:color w:val="000000"/>
          <w:sz w:val="32"/>
          <w:szCs w:val="32"/>
        </w:rPr>
      </w:pPr>
      <w:r>
        <w:rPr>
          <w:rFonts w:hint="eastAsia" w:asciiTheme="minorEastAsia" w:hAnsiTheme="minorEastAsia" w:eastAsiaTheme="minorEastAsia" w:cstheme="minorEastAsia"/>
          <w:bCs/>
          <w:color w:val="000000"/>
          <w:sz w:val="32"/>
          <w:szCs w:val="32"/>
        </w:rPr>
        <w:t>产品风险管理资料是对产品的风险管理过程及其评审的结果予以记录所形成的资料。应当提供下列内容，并说明对于每项已判定危害的下列各个过程的可追溯性。</w:t>
      </w:r>
    </w:p>
    <w:p>
      <w:pPr>
        <w:numPr>
          <w:ilvl w:val="0"/>
          <w:numId w:val="15"/>
        </w:numPr>
        <w:spacing w:line="520" w:lineRule="exact"/>
        <w:ind w:left="0" w:firstLine="640" w:firstLineChars="200"/>
        <w:outlineLvl w:val="0"/>
        <w:rPr>
          <w:rFonts w:hint="eastAsia" w:asciiTheme="minorEastAsia" w:hAnsiTheme="minorEastAsia" w:eastAsiaTheme="minorEastAsia" w:cstheme="minorEastAsia"/>
          <w:sz w:val="32"/>
          <w:szCs w:val="32"/>
        </w:rPr>
      </w:pPr>
      <w:bookmarkStart w:id="89" w:name="_Toc112680058"/>
      <w:bookmarkStart w:id="90" w:name="_Toc433873360"/>
      <w:r>
        <w:rPr>
          <w:rFonts w:hint="eastAsia" w:asciiTheme="minorEastAsia" w:hAnsiTheme="minorEastAsia" w:eastAsiaTheme="minorEastAsia" w:cstheme="minorEastAsia"/>
          <w:sz w:val="32"/>
          <w:szCs w:val="32"/>
        </w:rPr>
        <w:t>风险管理计划的内容</w:t>
      </w:r>
      <w:bookmarkEnd w:id="89"/>
      <w:bookmarkEnd w:id="90"/>
    </w:p>
    <w:p>
      <w:pPr>
        <w:numPr>
          <w:ilvl w:val="0"/>
          <w:numId w:val="16"/>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1" w:name="_Toc112680059"/>
      <w:r>
        <w:rPr>
          <w:rFonts w:hint="eastAsia" w:asciiTheme="minorEastAsia" w:hAnsiTheme="minorEastAsia" w:eastAsiaTheme="minorEastAsia" w:cstheme="minorEastAsia"/>
          <w:sz w:val="32"/>
          <w:szCs w:val="32"/>
        </w:rPr>
        <w:t>风险管理活动范围</w:t>
      </w:r>
      <w:bookmarkEnd w:id="91"/>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申请人应策划风险管理活动的范围，通过照片、示意图和文字等形式清晰</w:t>
      </w:r>
      <w:r>
        <w:rPr>
          <w:rFonts w:hint="eastAsia" w:asciiTheme="minorEastAsia" w:hAnsiTheme="minorEastAsia" w:eastAsiaTheme="minorEastAsia" w:cstheme="minorEastAsia"/>
          <w:color w:val="000000"/>
          <w:sz w:val="32"/>
          <w:szCs w:val="32"/>
        </w:rPr>
        <w:t>地</w:t>
      </w:r>
      <w:r>
        <w:rPr>
          <w:rFonts w:hint="eastAsia" w:asciiTheme="minorEastAsia" w:hAnsiTheme="minorEastAsia" w:eastAsiaTheme="minorEastAsia" w:cstheme="minorEastAsia"/>
          <w:color w:val="000000"/>
          <w:sz w:val="32"/>
          <w:szCs w:val="32"/>
        </w:rPr>
        <w:t>说明</w:t>
      </w:r>
      <w:r>
        <w:rPr>
          <w:rFonts w:hint="eastAsia" w:asciiTheme="minorEastAsia" w:hAnsiTheme="minorEastAsia" w:eastAsiaTheme="minorEastAsia" w:cstheme="minorEastAsia"/>
          <w:kern w:val="0"/>
          <w:sz w:val="32"/>
          <w:szCs w:val="32"/>
        </w:rPr>
        <w:t>产品</w:t>
      </w:r>
      <w:r>
        <w:rPr>
          <w:rFonts w:hint="eastAsia" w:asciiTheme="minorEastAsia" w:hAnsiTheme="minorEastAsia" w:eastAsiaTheme="minorEastAsia" w:cstheme="minorEastAsia"/>
          <w:color w:val="000000"/>
          <w:sz w:val="32"/>
          <w:szCs w:val="32"/>
        </w:rPr>
        <w:t>的</w:t>
      </w:r>
      <w:r>
        <w:rPr>
          <w:rFonts w:hint="eastAsia" w:asciiTheme="minorEastAsia" w:hAnsiTheme="minorEastAsia" w:eastAsiaTheme="minorEastAsia" w:cstheme="minorEastAsia"/>
          <w:color w:val="000000"/>
          <w:sz w:val="32"/>
          <w:szCs w:val="32"/>
        </w:rPr>
        <w:t>结构及</w:t>
      </w:r>
      <w:r>
        <w:rPr>
          <w:rFonts w:hint="eastAsia" w:asciiTheme="minorEastAsia" w:hAnsiTheme="minorEastAsia" w:eastAsiaTheme="minorEastAsia" w:cstheme="minorEastAsia"/>
          <w:color w:val="000000"/>
          <w:sz w:val="32"/>
          <w:szCs w:val="32"/>
        </w:rPr>
        <w:t>组成，描述产品功能。</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风险管理过程的所有要素应规划在产品生命周期之中。申请人应辨识产品的</w:t>
      </w:r>
      <w:r>
        <w:rPr>
          <w:rFonts w:hint="eastAsia" w:asciiTheme="minorEastAsia" w:hAnsiTheme="minorEastAsia" w:eastAsiaTheme="minorEastAsia" w:cstheme="minorEastAsia"/>
          <w:color w:val="000000"/>
          <w:sz w:val="32"/>
          <w:szCs w:val="32"/>
        </w:rPr>
        <w:t>生命周期阶段，以及每个阶段要开展</w:t>
      </w:r>
      <w:r>
        <w:rPr>
          <w:rFonts w:hint="eastAsia" w:asciiTheme="minorEastAsia" w:hAnsiTheme="minorEastAsia" w:eastAsiaTheme="minorEastAsia" w:cstheme="minorEastAsia"/>
          <w:color w:val="000000"/>
          <w:sz w:val="32"/>
          <w:szCs w:val="32"/>
        </w:rPr>
        <w:t>的</w:t>
      </w:r>
      <w:r>
        <w:rPr>
          <w:rFonts w:hint="eastAsia" w:asciiTheme="minorEastAsia" w:hAnsiTheme="minorEastAsia" w:eastAsiaTheme="minorEastAsia" w:cstheme="minorEastAsia"/>
          <w:color w:val="000000"/>
          <w:sz w:val="32"/>
          <w:szCs w:val="32"/>
        </w:rPr>
        <w:t>风险管理活动。</w:t>
      </w:r>
    </w:p>
    <w:p>
      <w:pPr>
        <w:numPr>
          <w:ilvl w:val="0"/>
          <w:numId w:val="16"/>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2" w:name="_Toc112680060"/>
      <w:r>
        <w:rPr>
          <w:rFonts w:hint="eastAsia" w:asciiTheme="minorEastAsia" w:hAnsiTheme="minorEastAsia" w:eastAsiaTheme="minorEastAsia" w:cstheme="minorEastAsia"/>
          <w:sz w:val="32"/>
          <w:szCs w:val="32"/>
        </w:rPr>
        <w:t>职责</w:t>
      </w:r>
      <w:r>
        <w:rPr>
          <w:rFonts w:hint="eastAsia" w:asciiTheme="minorEastAsia" w:hAnsiTheme="minorEastAsia" w:eastAsiaTheme="minorEastAsia" w:cstheme="minorEastAsia"/>
          <w:sz w:val="32"/>
          <w:szCs w:val="32"/>
        </w:rPr>
        <w:t>和</w:t>
      </w:r>
      <w:r>
        <w:rPr>
          <w:rFonts w:hint="eastAsia" w:asciiTheme="minorEastAsia" w:hAnsiTheme="minorEastAsia" w:eastAsiaTheme="minorEastAsia" w:cstheme="minorEastAsia"/>
          <w:sz w:val="32"/>
          <w:szCs w:val="32"/>
        </w:rPr>
        <w:t>权限</w:t>
      </w:r>
      <w:bookmarkEnd w:id="92"/>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申请人应明确参与风险管理活动的成员，其成员应具有与风险管理任务相适应的知识和经验</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包括风险分析人员、风险评价人员（</w:t>
      </w:r>
      <w:r>
        <w:rPr>
          <w:rFonts w:hint="eastAsia" w:asciiTheme="minorEastAsia" w:hAnsiTheme="minorEastAsia" w:eastAsiaTheme="minorEastAsia" w:cstheme="minorEastAsia"/>
          <w:color w:val="000000"/>
          <w:sz w:val="32"/>
          <w:szCs w:val="32"/>
        </w:rPr>
        <w:t>应</w:t>
      </w:r>
      <w:r>
        <w:rPr>
          <w:rFonts w:hint="eastAsia" w:asciiTheme="minorEastAsia" w:hAnsiTheme="minorEastAsia" w:eastAsiaTheme="minorEastAsia" w:cstheme="minorEastAsia"/>
          <w:color w:val="000000"/>
          <w:sz w:val="32"/>
          <w:szCs w:val="32"/>
        </w:rPr>
        <w:t>包含有临床背景的人员）、风险控制措施制定人员及验证人员、风险管理过程评审人员（不直接负责所评审的设计和开发阶段的人员和所需的专家）以及风险管理报告的编制及审批人员，应列出其姓名、职务及责任范围。</w:t>
      </w:r>
    </w:p>
    <w:p>
      <w:pPr>
        <w:numPr>
          <w:ilvl w:val="0"/>
          <w:numId w:val="16"/>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3" w:name="_Toc112680061"/>
      <w:r>
        <w:rPr>
          <w:rFonts w:hint="eastAsia" w:asciiTheme="minorEastAsia" w:hAnsiTheme="minorEastAsia" w:eastAsiaTheme="minorEastAsia" w:cstheme="minorEastAsia"/>
          <w:sz w:val="32"/>
          <w:szCs w:val="32"/>
        </w:rPr>
        <w:t>风险管理活动评审的要求</w:t>
      </w:r>
      <w:bookmarkEnd w:id="93"/>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申请人应详细规定何时和如何进行风险管理评审，风险管理活动评审的要求可</w:t>
      </w:r>
      <w:r>
        <w:rPr>
          <w:rFonts w:hint="eastAsia" w:asciiTheme="minorEastAsia" w:hAnsiTheme="minorEastAsia" w:eastAsiaTheme="minorEastAsia" w:cstheme="minorEastAsia"/>
          <w:color w:val="000000"/>
          <w:sz w:val="32"/>
          <w:szCs w:val="32"/>
        </w:rPr>
        <w:t>能</w:t>
      </w:r>
      <w:r>
        <w:rPr>
          <w:rFonts w:hint="eastAsia" w:asciiTheme="minorEastAsia" w:hAnsiTheme="minorEastAsia" w:eastAsiaTheme="minorEastAsia" w:cstheme="minorEastAsia"/>
          <w:color w:val="000000"/>
          <w:sz w:val="32"/>
          <w:szCs w:val="32"/>
        </w:rPr>
        <w:t>是质量管理体系的一部分。</w:t>
      </w:r>
    </w:p>
    <w:p>
      <w:pPr>
        <w:numPr>
          <w:ilvl w:val="0"/>
          <w:numId w:val="16"/>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4" w:name="_Toc112680062"/>
      <w:r>
        <w:rPr>
          <w:rFonts w:hint="eastAsia" w:asciiTheme="minorEastAsia" w:hAnsiTheme="minorEastAsia" w:eastAsiaTheme="minorEastAsia" w:cstheme="minorEastAsia"/>
          <w:sz w:val="32"/>
          <w:szCs w:val="32"/>
        </w:rPr>
        <w:t>风险可接受准则</w:t>
      </w:r>
      <w:bookmarkEnd w:id="94"/>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申请人应根据风险可接受方针，制定产品的风险可接受准则。风险可接受准则对于风险管理过程的最终有效性是至关重要的，申请人应根据产品预期用途、特征制定适当的风险可接受准则。</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风险可接受准则可以是申请人建立的质量管理体系的一部分，在风险管理计划中可以采用引用的方式体现。</w:t>
      </w:r>
    </w:p>
    <w:p>
      <w:pPr>
        <w:numPr>
          <w:ilvl w:val="0"/>
          <w:numId w:val="16"/>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5" w:name="_Toc112680063"/>
      <w:r>
        <w:rPr>
          <w:rFonts w:hint="eastAsia" w:asciiTheme="minorEastAsia" w:hAnsiTheme="minorEastAsia" w:eastAsiaTheme="minorEastAsia" w:cstheme="minorEastAsia"/>
          <w:sz w:val="32"/>
          <w:szCs w:val="32"/>
        </w:rPr>
        <w:t>验证活动</w:t>
      </w:r>
      <w:bookmarkEnd w:id="95"/>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风险管理计划</w:t>
      </w:r>
      <w:r>
        <w:rPr>
          <w:rFonts w:hint="eastAsia" w:asciiTheme="minorEastAsia" w:hAnsiTheme="minorEastAsia" w:eastAsiaTheme="minorEastAsia" w:cstheme="minorEastAsia"/>
          <w:color w:val="000000"/>
          <w:sz w:val="32"/>
          <w:szCs w:val="32"/>
        </w:rPr>
        <w:t>应</w:t>
      </w:r>
      <w:r>
        <w:rPr>
          <w:rFonts w:hint="eastAsia" w:asciiTheme="minorEastAsia" w:hAnsiTheme="minorEastAsia" w:eastAsiaTheme="minorEastAsia" w:cstheme="minorEastAsia"/>
          <w:color w:val="000000"/>
          <w:sz w:val="32"/>
          <w:szCs w:val="32"/>
        </w:rPr>
        <w:t>规定如何进行</w:t>
      </w:r>
      <w:r>
        <w:rPr>
          <w:rFonts w:hint="eastAsia" w:asciiTheme="minorEastAsia" w:hAnsiTheme="minorEastAsia" w:eastAsiaTheme="minorEastAsia" w:cstheme="minorEastAsia"/>
          <w:color w:val="000000"/>
          <w:sz w:val="32"/>
          <w:szCs w:val="32"/>
        </w:rPr>
        <w:t>下述</w:t>
      </w:r>
      <w:r>
        <w:rPr>
          <w:rFonts w:hint="eastAsia" w:asciiTheme="minorEastAsia" w:hAnsiTheme="minorEastAsia" w:eastAsiaTheme="minorEastAsia" w:cstheme="minorEastAsia"/>
          <w:color w:val="000000"/>
          <w:sz w:val="32"/>
          <w:szCs w:val="32"/>
        </w:rPr>
        <w:t>验证</w:t>
      </w:r>
      <w:r>
        <w:rPr>
          <w:rFonts w:hint="eastAsia" w:asciiTheme="minorEastAsia" w:hAnsiTheme="minorEastAsia" w:eastAsiaTheme="minorEastAsia" w:cstheme="minorEastAsia"/>
          <w:color w:val="000000"/>
          <w:sz w:val="32"/>
          <w:szCs w:val="32"/>
        </w:rPr>
        <w:t>工作</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确保</w:t>
      </w:r>
      <w:r>
        <w:rPr>
          <w:rFonts w:hint="eastAsia" w:asciiTheme="minorEastAsia" w:hAnsiTheme="minorEastAsia" w:eastAsiaTheme="minorEastAsia" w:cstheme="minorEastAsia"/>
          <w:color w:val="000000"/>
          <w:sz w:val="32"/>
          <w:szCs w:val="32"/>
        </w:rPr>
        <w:t>风险控制已在最终设计中实施；</w:t>
      </w:r>
      <w:r>
        <w:rPr>
          <w:rFonts w:hint="eastAsia" w:asciiTheme="minorEastAsia" w:hAnsiTheme="minorEastAsia" w:eastAsiaTheme="minorEastAsia" w:cstheme="minorEastAsia"/>
          <w:color w:val="000000"/>
          <w:sz w:val="32"/>
          <w:szCs w:val="32"/>
        </w:rPr>
        <w:t>确保</w:t>
      </w:r>
      <w:r>
        <w:rPr>
          <w:rFonts w:hint="eastAsia" w:asciiTheme="minorEastAsia" w:hAnsiTheme="minorEastAsia" w:eastAsiaTheme="minorEastAsia" w:cstheme="minorEastAsia"/>
          <w:color w:val="000000"/>
          <w:sz w:val="32"/>
          <w:szCs w:val="32"/>
        </w:rPr>
        <w:t>实施的措施确实降低了风险。风险管理计划应详述风险控制措施相关的验证活动的计划。</w:t>
      </w:r>
    </w:p>
    <w:p>
      <w:pPr>
        <w:numPr>
          <w:ilvl w:val="0"/>
          <w:numId w:val="16"/>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6" w:name="_Toc112680064"/>
      <w:r>
        <w:rPr>
          <w:rFonts w:hint="eastAsia" w:asciiTheme="minorEastAsia" w:hAnsiTheme="minorEastAsia" w:eastAsiaTheme="minorEastAsia" w:cstheme="minorEastAsia"/>
          <w:sz w:val="32"/>
          <w:szCs w:val="32"/>
        </w:rPr>
        <w:t>生</w:t>
      </w:r>
      <w:r>
        <w:rPr>
          <w:rFonts w:hint="eastAsia" w:asciiTheme="minorEastAsia" w:hAnsiTheme="minorEastAsia" w:eastAsiaTheme="minorEastAsia" w:cstheme="minorEastAsia"/>
          <w:sz w:val="32"/>
          <w:szCs w:val="32"/>
        </w:rPr>
        <w:t>产和生产后信息的收集和评审活动</w:t>
      </w:r>
      <w:bookmarkEnd w:id="96"/>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pPr>
        <w:numPr>
          <w:ilvl w:val="0"/>
          <w:numId w:val="15"/>
        </w:numPr>
        <w:spacing w:line="520" w:lineRule="exact"/>
        <w:ind w:left="0" w:firstLine="640" w:firstLineChars="200"/>
        <w:outlineLvl w:val="0"/>
        <w:rPr>
          <w:rFonts w:hint="eastAsia" w:asciiTheme="minorEastAsia" w:hAnsiTheme="minorEastAsia" w:eastAsiaTheme="minorEastAsia" w:cstheme="minorEastAsia"/>
          <w:sz w:val="32"/>
          <w:szCs w:val="32"/>
        </w:rPr>
      </w:pPr>
      <w:bookmarkStart w:id="97" w:name="_Toc112680065"/>
      <w:bookmarkStart w:id="98" w:name="_Toc433873361"/>
      <w:r>
        <w:rPr>
          <w:rFonts w:hint="eastAsia" w:asciiTheme="minorEastAsia" w:hAnsiTheme="minorEastAsia" w:eastAsiaTheme="minorEastAsia" w:cstheme="minorEastAsia"/>
          <w:sz w:val="32"/>
          <w:szCs w:val="32"/>
        </w:rPr>
        <w:t>风险管理报告的内容</w:t>
      </w:r>
      <w:bookmarkEnd w:id="97"/>
      <w:bookmarkEnd w:id="98"/>
    </w:p>
    <w:p>
      <w:pPr>
        <w:numPr>
          <w:ilvl w:val="0"/>
          <w:numId w:val="17"/>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99" w:name="_Toc112680066"/>
      <w:r>
        <w:rPr>
          <w:rFonts w:hint="eastAsia" w:asciiTheme="minorEastAsia" w:hAnsiTheme="minorEastAsia" w:eastAsiaTheme="minorEastAsia" w:cstheme="minorEastAsia"/>
          <w:sz w:val="32"/>
          <w:szCs w:val="32"/>
        </w:rPr>
        <w:t>预期用途和与安全性有关特征的判定</w:t>
      </w:r>
      <w:bookmarkEnd w:id="99"/>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风险管理报告应包含</w:t>
      </w:r>
      <w:r>
        <w:rPr>
          <w:rFonts w:hint="eastAsia" w:asciiTheme="minorEastAsia" w:hAnsiTheme="minorEastAsia" w:eastAsiaTheme="minorEastAsia" w:cstheme="minorEastAsia"/>
          <w:color w:val="000000"/>
          <w:sz w:val="32"/>
          <w:szCs w:val="32"/>
        </w:rPr>
        <w:t>产品</w:t>
      </w:r>
      <w:r>
        <w:rPr>
          <w:rFonts w:hint="eastAsia" w:asciiTheme="minorEastAsia" w:hAnsiTheme="minorEastAsia" w:eastAsiaTheme="minorEastAsia" w:cstheme="minorEastAsia"/>
          <w:color w:val="000000"/>
          <w:sz w:val="32"/>
          <w:szCs w:val="32"/>
        </w:rPr>
        <w:t>的预期用途以及合理可预见的误用。</w:t>
      </w:r>
    </w:p>
    <w:p>
      <w:pPr>
        <w:spacing w:line="520" w:lineRule="exact"/>
        <w:ind w:firstLine="640" w:firstLineChars="200"/>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申请人应按照GB/T 42062《医疗器械风险管理对医疗器械的应用》附录C提示的问题，对照产品的实际情况作针对性的简明描述。产品如存在附录C提示以外的可能影响安全性的特征的情况，也应做出说明。可能影响安全性的特征应形成文档，在风险管理报告中包含。</w:t>
      </w:r>
    </w:p>
    <w:p>
      <w:pPr>
        <w:numPr>
          <w:ilvl w:val="0"/>
          <w:numId w:val="17"/>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100" w:name="_Toc112680067"/>
      <w:r>
        <w:rPr>
          <w:rFonts w:hint="eastAsia" w:asciiTheme="minorEastAsia" w:hAnsiTheme="minorEastAsia" w:eastAsiaTheme="minorEastAsia" w:cstheme="minorEastAsia"/>
          <w:sz w:val="32"/>
          <w:szCs w:val="32"/>
        </w:rPr>
        <w:t>危害的判定</w:t>
      </w:r>
      <w:bookmarkEnd w:id="100"/>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申请人应在已识别的影响安全性的特征的基础上，系统地判定产品在正常和故障两种条件下的可预见的危害</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并对危害的成因及后果进行分析，即说明危害、可预见事件序列、危害处境和可能发生的损害之间的关系</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形成一份产品可预见的危害及危害分析清单。</w:t>
      </w:r>
    </w:p>
    <w:p>
      <w:pPr>
        <w:spacing w:line="520" w:lineRule="exact"/>
        <w:ind w:firstLine="640" w:firstLineChars="200"/>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危害的判定至少应包含能量危害、生物和化学危害、操作危害、信息危害</w:t>
      </w:r>
      <w:r>
        <w:rPr>
          <w:rFonts w:hint="eastAsia" w:asciiTheme="minorEastAsia" w:hAnsiTheme="minorEastAsia" w:eastAsiaTheme="minorEastAsia" w:cstheme="minorEastAsia"/>
          <w:color w:val="000000"/>
          <w:sz w:val="32"/>
          <w:szCs w:val="32"/>
        </w:rPr>
        <w:t>等</w:t>
      </w:r>
      <w:r>
        <w:rPr>
          <w:rFonts w:hint="eastAsia" w:asciiTheme="minorEastAsia" w:hAnsiTheme="minorEastAsia" w:eastAsiaTheme="minorEastAsia" w:cstheme="minorEastAsia"/>
          <w:color w:val="000000"/>
          <w:sz w:val="32"/>
          <w:szCs w:val="32"/>
        </w:rPr>
        <w:t>方面的危害分析，并应按照GB/T 42062</w:t>
      </w:r>
      <w:r>
        <w:rPr>
          <w:rFonts w:hint="eastAsia" w:asciiTheme="minorEastAsia" w:hAnsiTheme="minorEastAsia" w:eastAsiaTheme="minorEastAsia" w:cstheme="minorEastAsia"/>
          <w:color w:val="000000"/>
          <w:sz w:val="32"/>
          <w:szCs w:val="32"/>
        </w:rPr>
        <w:t>《医疗器械</w:t>
      </w:r>
      <w:r>
        <w:rPr>
          <w:rFonts w:hint="eastAsia" w:asciiTheme="minorEastAsia" w:hAnsiTheme="minorEastAsia" w:eastAsiaTheme="minorEastAsia" w:cstheme="minorEastAsia"/>
          <w:color w:val="000000"/>
          <w:sz w:val="32"/>
          <w:szCs w:val="32"/>
        </w:rPr>
        <w:t xml:space="preserve"> </w:t>
      </w:r>
      <w:r>
        <w:rPr>
          <w:rFonts w:hint="eastAsia" w:asciiTheme="minorEastAsia" w:hAnsiTheme="minorEastAsia" w:eastAsiaTheme="minorEastAsia" w:cstheme="minorEastAsia"/>
          <w:color w:val="000000"/>
          <w:sz w:val="32"/>
          <w:szCs w:val="32"/>
        </w:rPr>
        <w:t>风险管理对医疗器械的应用》附录D风险严重度和发生概率分类</w:t>
      </w:r>
      <w:r>
        <w:rPr>
          <w:rFonts w:hint="eastAsia" w:asciiTheme="minorEastAsia" w:hAnsiTheme="minorEastAsia" w:eastAsiaTheme="minorEastAsia" w:cstheme="minorEastAsia"/>
          <w:color w:val="000000"/>
          <w:sz w:val="32"/>
          <w:szCs w:val="32"/>
        </w:rPr>
        <w:t>来展开分析</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rPr>
        <w:t>申请人应根据申报产品具体预期用途和与安全性有关特征编写风险管理报告。</w:t>
      </w:r>
    </w:p>
    <w:p>
      <w:pPr>
        <w:numPr>
          <w:ilvl w:val="0"/>
          <w:numId w:val="17"/>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101" w:name="_Toc112680068"/>
      <w:r>
        <w:rPr>
          <w:rFonts w:hint="eastAsia" w:asciiTheme="minorEastAsia" w:hAnsiTheme="minorEastAsia" w:eastAsiaTheme="minorEastAsia" w:cstheme="minorEastAsia"/>
          <w:sz w:val="32"/>
          <w:szCs w:val="32"/>
        </w:rPr>
        <w:t>风险估计</w:t>
      </w:r>
      <w:bookmarkEnd w:id="101"/>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应识别可能造成危害处境的合理可预见的事件序列或组合，并列明造成的危害处境。</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对损害发生的概率和损害的严重度进行定性或定量的估计。用于风险估计的资料或数据，可以通过以下途径获得：</w:t>
      </w:r>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已发布的标准；</w:t>
      </w:r>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科学技术资料，例如各种期刊、专著；</w:t>
      </w:r>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已在使用中的临床资料，例如已公布的不良事件报告、召回信息等，典型的如美国</w:t>
      </w:r>
      <w:r>
        <w:rPr>
          <w:rFonts w:hint="eastAsia" w:asciiTheme="minorEastAsia" w:hAnsiTheme="minorEastAsia" w:eastAsiaTheme="minorEastAsia" w:cstheme="minorEastAsia"/>
          <w:color w:val="000000"/>
          <w:sz w:val="32"/>
          <w:szCs w:val="32"/>
        </w:rPr>
        <w:t>食品药品管理局</w:t>
      </w:r>
      <w:r>
        <w:rPr>
          <w:rFonts w:hint="eastAsia" w:asciiTheme="minorEastAsia" w:hAnsiTheme="minorEastAsia" w:eastAsiaTheme="minorEastAsia" w:cstheme="minorEastAsia"/>
          <w:color w:val="000000"/>
          <w:sz w:val="32"/>
          <w:szCs w:val="32"/>
        </w:rPr>
        <w:t>官方网站中的MAUDE数据库；</w:t>
      </w:r>
      <w:bookmarkStart w:id="138" w:name="_GoBack"/>
      <w:bookmarkEnd w:id="138"/>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临床数据；</w:t>
      </w:r>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调研结果；</w:t>
      </w:r>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专家意见；</w:t>
      </w:r>
    </w:p>
    <w:p>
      <w:pPr>
        <w:numPr>
          <w:ilvl w:val="0"/>
          <w:numId w:val="18"/>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外部质量评定情况。</w:t>
      </w:r>
    </w:p>
    <w:p>
      <w:pPr>
        <w:numPr>
          <w:ilvl w:val="0"/>
          <w:numId w:val="17"/>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102" w:name="_Toc112680069"/>
      <w:r>
        <w:rPr>
          <w:rFonts w:hint="eastAsia" w:asciiTheme="minorEastAsia" w:hAnsiTheme="minorEastAsia" w:eastAsiaTheme="minorEastAsia" w:cstheme="minorEastAsia"/>
          <w:sz w:val="32"/>
          <w:szCs w:val="32"/>
        </w:rPr>
        <w:t>风险评价</w:t>
      </w:r>
      <w:bookmarkEnd w:id="102"/>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对每个已判定的危害处境，申请人应依据风险管理计划中制定的风险可接受准则进行风险评价，决定是否需要降低风险。若需要，申请人应描述如何进行相应风险控制。</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风险评价的结果</w:t>
      </w:r>
      <w:r>
        <w:rPr>
          <w:rFonts w:hint="eastAsia" w:asciiTheme="minorEastAsia" w:hAnsiTheme="minorEastAsia" w:eastAsiaTheme="minorEastAsia" w:cstheme="minorEastAsia"/>
          <w:color w:val="000000"/>
          <w:sz w:val="32"/>
          <w:szCs w:val="32"/>
        </w:rPr>
        <w:t>应</w:t>
      </w:r>
      <w:r>
        <w:rPr>
          <w:rFonts w:hint="eastAsia" w:asciiTheme="minorEastAsia" w:hAnsiTheme="minorEastAsia" w:eastAsiaTheme="minorEastAsia" w:cstheme="minorEastAsia"/>
          <w:color w:val="000000"/>
          <w:sz w:val="32"/>
          <w:szCs w:val="32"/>
        </w:rPr>
        <w:t>记入风险管理文件中。</w:t>
      </w:r>
    </w:p>
    <w:p>
      <w:pPr>
        <w:numPr>
          <w:ilvl w:val="0"/>
          <w:numId w:val="17"/>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103" w:name="_Toc112680070"/>
      <w:r>
        <w:rPr>
          <w:rFonts w:hint="eastAsia" w:asciiTheme="minorEastAsia" w:hAnsiTheme="minorEastAsia" w:eastAsiaTheme="minorEastAsia" w:cstheme="minorEastAsia"/>
          <w:sz w:val="32"/>
          <w:szCs w:val="32"/>
        </w:rPr>
        <w:t>风险控制</w:t>
      </w:r>
      <w:bookmarkEnd w:id="103"/>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申请人应对经风险评价后不可接受的、或考虑可进一步采取措施降低的风险制定适当的风险控制措施（一个或多个），把风险降低到可接受的水平。</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w:t>
      </w:r>
      <w:r>
        <w:rPr>
          <w:rFonts w:hint="eastAsia" w:asciiTheme="minorEastAsia" w:hAnsiTheme="minorEastAsia" w:eastAsiaTheme="minorEastAsia" w:cstheme="minorEastAsia"/>
          <w:color w:val="000000"/>
          <w:sz w:val="32"/>
          <w:szCs w:val="32"/>
        </w:rPr>
        <w:t>宜</w:t>
      </w:r>
      <w:r>
        <w:rPr>
          <w:rFonts w:hint="eastAsia" w:asciiTheme="minorEastAsia" w:hAnsiTheme="minorEastAsia" w:eastAsiaTheme="minorEastAsia" w:cstheme="minorEastAsia"/>
          <w:color w:val="000000"/>
          <w:sz w:val="32"/>
          <w:szCs w:val="32"/>
        </w:rPr>
        <w:t>按照以下顺序，依次使用一种或多种方法：</w:t>
      </w:r>
    </w:p>
    <w:p>
      <w:pPr>
        <w:numPr>
          <w:ilvl w:val="0"/>
          <w:numId w:val="19"/>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用设计方法取得固有安全性，例如消除危害、降低损害发生的概率、降低损害的严重度；</w:t>
      </w:r>
    </w:p>
    <w:p>
      <w:pPr>
        <w:numPr>
          <w:ilvl w:val="0"/>
          <w:numId w:val="19"/>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在医疗器械本身或在制造过程中提供防护措施，例如提供安全阀、提供视觉或听觉报警信号；</w:t>
      </w:r>
    </w:p>
    <w:p>
      <w:pPr>
        <w:numPr>
          <w:ilvl w:val="0"/>
          <w:numId w:val="19"/>
        </w:numPr>
        <w:spacing w:line="520" w:lineRule="exact"/>
        <w:ind w:left="0"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提供安全性信息，例如提供警告标识、限制</w:t>
      </w:r>
      <w:r>
        <w:rPr>
          <w:rFonts w:hint="eastAsia" w:asciiTheme="minorEastAsia" w:hAnsiTheme="minorEastAsia" w:eastAsiaTheme="minorEastAsia" w:cstheme="minorEastAsia"/>
          <w:color w:val="000000"/>
          <w:sz w:val="32"/>
          <w:szCs w:val="32"/>
        </w:rPr>
        <w:t>产品</w:t>
      </w:r>
      <w:r>
        <w:rPr>
          <w:rFonts w:hint="eastAsia" w:asciiTheme="minorEastAsia" w:hAnsiTheme="minorEastAsia" w:eastAsiaTheme="minorEastAsia" w:cstheme="minorEastAsia"/>
          <w:color w:val="000000"/>
          <w:sz w:val="32"/>
          <w:szCs w:val="32"/>
        </w:rPr>
        <w:t>使用或限制使用环境、提供警告信息（告知某些不当使用、危害或其他有助于降低风险的信息）、提供防护设备（例如细菌过滤器）、提供操作者培训（以改进他们的表现或提高其检出错误的能力）、规定必需的维护时间间隔、规定最大产品服务寿命等。</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在制定降低风险的控制措施方案时，申请人应充分考虑产品国家标准、行业标准中有关降低风险的措施。</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申请人应确保降低风险的控制措施在研制初期得到有效的输入，对每项风险控制措施实施予以验证，并应对措施的有效性实施验证。</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申请人应对采取降低风险的控制措施后的剩余风险以及是否会引发新的风险进行评价。</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以上降低风险的控制措施、控制措施的验证、剩余风险评价等信息</w:t>
      </w:r>
      <w:r>
        <w:rPr>
          <w:rFonts w:hint="eastAsia" w:asciiTheme="minorEastAsia" w:hAnsiTheme="minorEastAsia" w:eastAsiaTheme="minorEastAsia" w:cstheme="minorEastAsia"/>
          <w:color w:val="000000"/>
          <w:sz w:val="32"/>
          <w:szCs w:val="32"/>
        </w:rPr>
        <w:t>应</w:t>
      </w:r>
      <w:r>
        <w:rPr>
          <w:rFonts w:hint="eastAsia" w:asciiTheme="minorEastAsia" w:hAnsiTheme="minorEastAsia" w:eastAsiaTheme="minorEastAsia" w:cstheme="minorEastAsia"/>
          <w:color w:val="000000"/>
          <w:sz w:val="32"/>
          <w:szCs w:val="32"/>
        </w:rPr>
        <w:t>记入风险管理报告中。</w:t>
      </w:r>
    </w:p>
    <w:p>
      <w:pPr>
        <w:numPr>
          <w:ilvl w:val="0"/>
          <w:numId w:val="17"/>
        </w:numPr>
        <w:spacing w:line="520" w:lineRule="exact"/>
        <w:ind w:left="0" w:firstLine="640" w:firstLineChars="200"/>
        <w:outlineLvl w:val="1"/>
        <w:rPr>
          <w:rFonts w:hint="eastAsia" w:asciiTheme="minorEastAsia" w:hAnsiTheme="minorEastAsia" w:eastAsiaTheme="minorEastAsia" w:cstheme="minorEastAsia"/>
          <w:sz w:val="32"/>
          <w:szCs w:val="32"/>
        </w:rPr>
      </w:pPr>
      <w:bookmarkStart w:id="104" w:name="_Toc112680071"/>
      <w:r>
        <w:rPr>
          <w:rFonts w:hint="eastAsia" w:asciiTheme="minorEastAsia" w:hAnsiTheme="minorEastAsia" w:eastAsiaTheme="minorEastAsia" w:cstheme="minorEastAsia"/>
          <w:sz w:val="32"/>
          <w:szCs w:val="32"/>
        </w:rPr>
        <w:t>综合剩余风险的可接受性评价</w:t>
      </w:r>
      <w:bookmarkEnd w:id="104"/>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申请人应对综合剩余风险是否可接受给出结论性意见，并对已有恰当的方法获得与本产品相关的生产后信息与临床应用的信息进行阐述并做出承诺。</w:t>
      </w:r>
    </w:p>
    <w:p>
      <w:pPr>
        <w:spacing w:line="520"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风险管理报告应由申请人的最高管理者（法人代表）或其授权的代表签字批准。</w:t>
      </w:r>
    </w:p>
    <w:p>
      <w:pP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br w:type="page"/>
      </w:r>
    </w:p>
    <w:p>
      <w:pPr>
        <w:pStyle w:val="2"/>
        <w:spacing w:before="0" w:after="0" w:line="520" w:lineRule="exact"/>
        <w:rPr>
          <w:rFonts w:hint="eastAsia" w:asciiTheme="minorEastAsia" w:hAnsiTheme="minorEastAsia" w:eastAsiaTheme="minorEastAsia" w:cstheme="minorEastAsia"/>
          <w:b w:val="0"/>
          <w:bCs w:val="0"/>
          <w:sz w:val="30"/>
          <w:szCs w:val="30"/>
        </w:rPr>
      </w:pPr>
      <w:bookmarkStart w:id="105" w:name="_Ref114642423"/>
      <w:bookmarkStart w:id="106" w:name="_Ref434177759"/>
      <w:bookmarkStart w:id="107" w:name="_Toc112680073"/>
      <w:r>
        <w:rPr>
          <w:rFonts w:hint="eastAsia" w:asciiTheme="minorEastAsia" w:hAnsiTheme="minorEastAsia" w:eastAsiaTheme="minorEastAsia" w:cstheme="minorEastAsia"/>
          <w:b w:val="0"/>
          <w:bCs w:val="0"/>
          <w:sz w:val="30"/>
          <w:szCs w:val="30"/>
        </w:rPr>
        <w:t>附</w:t>
      </w:r>
      <w:r>
        <w:rPr>
          <w:rFonts w:hint="eastAsia" w:asciiTheme="minorEastAsia" w:hAnsiTheme="minorEastAsia" w:eastAsiaTheme="minorEastAsia" w:cstheme="minorEastAsia"/>
          <w:b w:val="0"/>
          <w:bCs w:val="0"/>
          <w:sz w:val="30"/>
          <w:szCs w:val="30"/>
        </w:rPr>
        <w:t>件</w:t>
      </w:r>
      <w:r>
        <w:rPr>
          <w:rFonts w:hint="eastAsia" w:asciiTheme="minorEastAsia" w:hAnsiTheme="minorEastAsia" w:eastAsiaTheme="minorEastAsia" w:cstheme="minorEastAsia"/>
          <w:b w:val="0"/>
          <w:bCs w:val="0"/>
          <w:sz w:val="30"/>
          <w:szCs w:val="30"/>
        </w:rPr>
        <w:t>2</w:t>
      </w:r>
      <w:bookmarkEnd w:id="105"/>
    </w:p>
    <w:p>
      <w:pPr>
        <w:spacing w:line="520" w:lineRule="exact"/>
        <w:jc w:val="center"/>
        <w:rPr>
          <w:rFonts w:hint="eastAsia" w:asciiTheme="minorEastAsia" w:hAnsiTheme="minorEastAsia" w:eastAsiaTheme="minorEastAsia" w:cstheme="minorEastAsia"/>
          <w:sz w:val="32"/>
          <w:szCs w:val="32"/>
        </w:rPr>
      </w:pPr>
    </w:p>
    <w:p>
      <w:pPr>
        <w:spacing w:line="520" w:lineRule="exact"/>
        <w:jc w:val="center"/>
        <w:outlineLvl w:val="0"/>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无创血糖监测产品</w:t>
      </w:r>
      <w:r>
        <w:rPr>
          <w:rFonts w:hint="eastAsia" w:asciiTheme="minorEastAsia" w:hAnsiTheme="minorEastAsia" w:eastAsiaTheme="minorEastAsia" w:cstheme="minorEastAsia"/>
          <w:sz w:val="44"/>
          <w:szCs w:val="44"/>
        </w:rPr>
        <w:t>宜参考的现行有效标准</w:t>
      </w:r>
    </w:p>
    <w:p>
      <w:pPr>
        <w:spacing w:line="520" w:lineRule="exact"/>
        <w:jc w:val="center"/>
        <w:rPr>
          <w:rFonts w:hint="eastAsia" w:asciiTheme="minorEastAsia" w:hAnsiTheme="minorEastAsia" w:eastAsiaTheme="minorEastAsia" w:cstheme="minorEastAsia"/>
          <w:sz w:val="32"/>
          <w:szCs w:val="32"/>
        </w:rPr>
      </w:pPr>
    </w:p>
    <w:p>
      <w:pPr>
        <w:pStyle w:val="7"/>
        <w:keepNext/>
        <w:spacing w:line="5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表</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SEQ 表 \* ARABIC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宜参考的现行有效标准</w:t>
      </w:r>
    </w:p>
    <w:tbl>
      <w:tblPr>
        <w:tblStyle w:val="2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adjustRightInd w:val="0"/>
              <w:snapToGrid w:val="0"/>
              <w:jc w:val="center"/>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标准编号</w:t>
            </w:r>
          </w:p>
        </w:tc>
        <w:tc>
          <w:tcPr>
            <w:tcW w:w="6516" w:type="dxa"/>
          </w:tcPr>
          <w:p>
            <w:pPr>
              <w:adjustRightInd w:val="0"/>
              <w:snapToGrid w:val="0"/>
              <w:jc w:val="center"/>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GB 9706.1</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第1部分：基本安全和基本性能的通用要求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sz w:val="28"/>
                <w:szCs w:val="28"/>
              </w:rPr>
              <w:t>GB 9706.15-2008</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第1-1部分：安全通用要求　并列标准：医用电气系统安全要求</w:t>
            </w:r>
            <w:r>
              <w:rPr>
                <w:rFonts w:hint="eastAsia" w:asciiTheme="minorEastAsia" w:hAnsiTheme="minorEastAsia" w:eastAsiaTheme="minorEastAsia" w:cstheme="minorEastAsia"/>
                <w:color w:val="000000"/>
                <w:sz w:val="28"/>
                <w:szCs w:val="28"/>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GB/T 14710</w:t>
            </w:r>
          </w:p>
        </w:tc>
        <w:tc>
          <w:tcPr>
            <w:tcW w:w="6516" w:type="dxa"/>
          </w:tcPr>
          <w:p>
            <w:pPr>
              <w:widowControl/>
              <w:adjustRightInd w:val="0"/>
              <w:snapToGrid w:val="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医用电器环境要求及试验方法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GB/T 16886.1</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医疗器械生物学评价 第1部分：风险管理过程中的评价与试验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GB/T 16886.5</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医疗器械生物学评价 第5部分：体外细胞毒性试验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GB/T 16886.10</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医疗器械生物学评价 第10部分：刺激与迟发型超敏反应试验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GB/T 16886.12</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医疗器械生物学评价 第12部分：样品制备与参照样品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GB/T 16886.18</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医疗器械生物学评价 第18部分：材料化学表征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GB/T 14233.2</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医用输液、输血、注射器具检验方法 第2部分：生物学试验方法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GB/T 42062</w:t>
            </w:r>
          </w:p>
        </w:tc>
        <w:tc>
          <w:tcPr>
            <w:tcW w:w="6516" w:type="dxa"/>
          </w:tcPr>
          <w:p>
            <w:pPr>
              <w:widowControl/>
              <w:adjustRightInd w:val="0"/>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医疗器械 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sz w:val="28"/>
                <w:szCs w:val="28"/>
              </w:rPr>
              <w:t>GB/T 21416</w:t>
            </w:r>
          </w:p>
        </w:tc>
        <w:tc>
          <w:tcPr>
            <w:tcW w:w="6516" w:type="dxa"/>
          </w:tcPr>
          <w:p>
            <w:pPr>
              <w:widowControl/>
              <w:adjustRightInd w:val="0"/>
              <w:snapToGrid w:val="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sz w:val="28"/>
                <w:szCs w:val="28"/>
              </w:rPr>
              <w:t>医用体温计（如适用）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YY 0785</w:t>
            </w:r>
          </w:p>
        </w:tc>
        <w:tc>
          <w:tcPr>
            <w:tcW w:w="6516" w:type="dxa"/>
          </w:tcPr>
          <w:p>
            <w:pPr>
              <w:widowControl/>
              <w:adjustRightInd w:val="0"/>
              <w:snapToGrid w:val="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临床体温计 连续测量的电子体温计性能要求（如适用）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bottom w:val="nil"/>
            </w:tcBorders>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9706.102</w:t>
            </w:r>
          </w:p>
        </w:tc>
        <w:tc>
          <w:tcPr>
            <w:tcW w:w="6516" w:type="dxa"/>
            <w:tcBorders>
              <w:bottom w:val="nil"/>
            </w:tcBorders>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第1-2部分：基本安全和基本性能的通用要求　并列标准：电磁兼容要求和试验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bottom w:val="nil"/>
            </w:tcBorders>
            <w:vAlign w:val="center"/>
          </w:tcPr>
          <w:p>
            <w:pPr>
              <w:widowControl/>
              <w:adjustRightInd w:val="0"/>
              <w:snapToGrid w:val="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或</w:t>
            </w:r>
          </w:p>
        </w:tc>
        <w:tc>
          <w:tcPr>
            <w:tcW w:w="6516" w:type="dxa"/>
            <w:tcBorders>
              <w:top w:val="nil"/>
              <w:bottom w:val="nil"/>
            </w:tcBorders>
          </w:tcPr>
          <w:p>
            <w:pPr>
              <w:widowControl/>
              <w:adjustRightInd w:val="0"/>
              <w:snapToGrid w:val="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tcBorders>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0505</w:t>
            </w:r>
          </w:p>
        </w:tc>
        <w:tc>
          <w:tcPr>
            <w:tcW w:w="6516" w:type="dxa"/>
            <w:tcBorders>
              <w:top w:val="nil"/>
            </w:tcBorders>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第1-2部分：安全通用要求 并列标准：电磁兼容 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bottom w:val="nil"/>
            </w:tcBorders>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9706.108</w:t>
            </w:r>
          </w:p>
        </w:tc>
        <w:tc>
          <w:tcPr>
            <w:tcW w:w="6516" w:type="dxa"/>
            <w:tcBorders>
              <w:bottom w:val="nil"/>
            </w:tcBorders>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第1-8部分：基本安全和基本性能的通用要求　并列标准：通用要求，医用电气设备和医用电气系统中报警系统的测试和指南</w:t>
            </w:r>
            <w:r>
              <w:rPr>
                <w:rFonts w:hint="eastAsia" w:asciiTheme="minorEastAsia" w:hAnsiTheme="minorEastAsia" w:eastAsiaTheme="minorEastAsia" w:cstheme="minorEastAsia"/>
                <w:color w:val="000000"/>
                <w:sz w:val="28"/>
                <w:szCs w:val="28"/>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bottom w:val="nil"/>
            </w:tcBorders>
            <w:vAlign w:val="center"/>
          </w:tcPr>
          <w:p>
            <w:pPr>
              <w:widowControl/>
              <w:adjustRightInd w:val="0"/>
              <w:snapToGrid w:val="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或</w:t>
            </w:r>
          </w:p>
        </w:tc>
        <w:tc>
          <w:tcPr>
            <w:tcW w:w="6516" w:type="dxa"/>
            <w:tcBorders>
              <w:top w:val="nil"/>
              <w:bottom w:val="nil"/>
            </w:tcBorders>
          </w:tcPr>
          <w:p>
            <w:pPr>
              <w:widowControl/>
              <w:adjustRightInd w:val="0"/>
              <w:snapToGrid w:val="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tcBorders>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0709</w:t>
            </w:r>
          </w:p>
        </w:tc>
        <w:tc>
          <w:tcPr>
            <w:tcW w:w="6516" w:type="dxa"/>
            <w:tcBorders>
              <w:top w:val="nil"/>
            </w:tcBorders>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第1-8部分：安全通用要求　并列标准　医用电气设备和医用电气系统中报警系统的测试和指南</w:t>
            </w:r>
            <w:r>
              <w:rPr>
                <w:rFonts w:hint="eastAsia" w:asciiTheme="minorEastAsia" w:hAnsiTheme="minorEastAsia" w:eastAsiaTheme="minorEastAsia" w:cstheme="minorEastAsia"/>
                <w:color w:val="000000"/>
                <w:sz w:val="28"/>
                <w:szCs w:val="28"/>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9706.111</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第1-11部分：基本安全和基本性能通用要求-并列标准：在家庭护理环境中使用的医用电气设备和医用电气系统的要求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9706.256</w:t>
            </w:r>
          </w:p>
        </w:tc>
        <w:tc>
          <w:tcPr>
            <w:tcW w:w="6516" w:type="dxa"/>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第2-56部分：用于体温测量的临床体温计的基本安全和基本性能专用要求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bottom w:val="nil"/>
            </w:tcBorders>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YY 9706.261</w:t>
            </w:r>
          </w:p>
        </w:tc>
        <w:tc>
          <w:tcPr>
            <w:tcW w:w="6516" w:type="dxa"/>
            <w:tcBorders>
              <w:bottom w:val="nil"/>
            </w:tcBorders>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医用电气设备 第2-61部分：脉搏血氧设备的基本安全和基本性能专用要求</w:t>
            </w:r>
            <w:r>
              <w:rPr>
                <w:rFonts w:hint="eastAsia" w:asciiTheme="minorEastAsia" w:hAnsiTheme="minorEastAsia" w:eastAsiaTheme="minorEastAsia" w:cstheme="minorEastAsia"/>
                <w:color w:val="000000"/>
                <w:sz w:val="28"/>
                <w:szCs w:val="28"/>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bottom w:val="nil"/>
            </w:tcBorders>
            <w:vAlign w:val="center"/>
          </w:tcPr>
          <w:p>
            <w:pPr>
              <w:widowControl/>
              <w:adjustRightInd w:val="0"/>
              <w:snapToGrid w:val="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或</w:t>
            </w:r>
          </w:p>
        </w:tc>
        <w:tc>
          <w:tcPr>
            <w:tcW w:w="6516" w:type="dxa"/>
            <w:tcBorders>
              <w:top w:val="nil"/>
              <w:bottom w:val="nil"/>
            </w:tcBorders>
          </w:tcPr>
          <w:p>
            <w:pPr>
              <w:widowControl/>
              <w:adjustRightInd w:val="0"/>
              <w:snapToGrid w:val="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tcBorders>
            <w:vAlign w:val="center"/>
          </w:tcPr>
          <w:p>
            <w:pPr>
              <w:widowControl/>
              <w:adjustRightInd w:val="0"/>
              <w:snapToGrid w:val="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sz w:val="28"/>
                <w:szCs w:val="28"/>
              </w:rPr>
              <w:t>YY 0784</w:t>
            </w:r>
          </w:p>
        </w:tc>
        <w:tc>
          <w:tcPr>
            <w:tcW w:w="6516" w:type="dxa"/>
            <w:tcBorders>
              <w:top w:val="nil"/>
            </w:tcBorders>
          </w:tcPr>
          <w:p>
            <w:pPr>
              <w:widowControl/>
              <w:adjustRightInd w:val="0"/>
              <w:snapToGrid w:val="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sz w:val="28"/>
                <w:szCs w:val="28"/>
              </w:rPr>
              <w:t>医用电气设备 医用脉搏血氧仪设备基本安全和主要性能专用要求（如适用）</w:t>
            </w:r>
          </w:p>
        </w:tc>
      </w:tr>
    </w:tbl>
    <w:p>
      <w:pPr>
        <w:spacing w:line="5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2"/>
        <w:spacing w:before="0" w:after="0" w:line="520" w:lineRule="exact"/>
        <w:rPr>
          <w:rFonts w:hint="eastAsia" w:asciiTheme="minorEastAsia" w:hAnsiTheme="minorEastAsia" w:eastAsiaTheme="minorEastAsia" w:cstheme="minorEastAsia"/>
          <w:b w:val="0"/>
          <w:bCs w:val="0"/>
          <w:sz w:val="30"/>
          <w:szCs w:val="30"/>
        </w:rPr>
      </w:pPr>
      <w:bookmarkStart w:id="108" w:name="_Ref114642765"/>
      <w:r>
        <w:rPr>
          <w:rFonts w:hint="eastAsia" w:asciiTheme="minorEastAsia" w:hAnsiTheme="minorEastAsia" w:eastAsiaTheme="minorEastAsia" w:cstheme="minorEastAsia"/>
          <w:b w:val="0"/>
          <w:bCs w:val="0"/>
          <w:sz w:val="30"/>
          <w:szCs w:val="30"/>
        </w:rPr>
        <w:t>附</w:t>
      </w:r>
      <w:bookmarkEnd w:id="106"/>
      <w:bookmarkEnd w:id="107"/>
      <w:r>
        <w:rPr>
          <w:rFonts w:hint="eastAsia" w:asciiTheme="minorEastAsia" w:hAnsiTheme="minorEastAsia" w:eastAsiaTheme="minorEastAsia" w:cstheme="minorEastAsia"/>
          <w:b w:val="0"/>
          <w:bCs w:val="0"/>
          <w:sz w:val="30"/>
          <w:szCs w:val="30"/>
        </w:rPr>
        <w:t>件</w:t>
      </w:r>
      <w:r>
        <w:rPr>
          <w:rFonts w:hint="eastAsia" w:asciiTheme="minorEastAsia" w:hAnsiTheme="minorEastAsia" w:eastAsiaTheme="minorEastAsia" w:cstheme="minorEastAsia"/>
          <w:b w:val="0"/>
          <w:bCs w:val="0"/>
          <w:sz w:val="30"/>
          <w:szCs w:val="30"/>
        </w:rPr>
        <w:t>3</w:t>
      </w:r>
      <w:bookmarkEnd w:id="108"/>
    </w:p>
    <w:p>
      <w:pPr>
        <w:spacing w:line="520" w:lineRule="exact"/>
        <w:rPr>
          <w:rFonts w:hint="eastAsia" w:asciiTheme="minorEastAsia" w:hAnsiTheme="minorEastAsia" w:eastAsiaTheme="minorEastAsia" w:cstheme="minorEastAsia"/>
          <w:sz w:val="24"/>
        </w:rPr>
      </w:pPr>
    </w:p>
    <w:p>
      <w:pPr>
        <w:spacing w:line="520" w:lineRule="exact"/>
        <w:jc w:val="center"/>
        <w:outlineLvl w:val="0"/>
        <w:rPr>
          <w:rFonts w:hint="eastAsia" w:asciiTheme="minorEastAsia" w:hAnsiTheme="minorEastAsia" w:eastAsiaTheme="minorEastAsia" w:cstheme="minorEastAsia"/>
          <w:sz w:val="44"/>
          <w:szCs w:val="44"/>
        </w:rPr>
      </w:pPr>
      <w:bookmarkStart w:id="109" w:name="_Toc112680074"/>
      <w:r>
        <w:rPr>
          <w:rFonts w:hint="eastAsia" w:asciiTheme="minorEastAsia" w:hAnsiTheme="minorEastAsia" w:eastAsiaTheme="minorEastAsia" w:cstheme="minorEastAsia"/>
          <w:sz w:val="44"/>
          <w:szCs w:val="44"/>
        </w:rPr>
        <w:t>无创血糖监测产品技术要求模板</w:t>
      </w:r>
      <w:bookmarkEnd w:id="109"/>
    </w:p>
    <w:p>
      <w:pPr>
        <w:spacing w:line="520" w:lineRule="exact"/>
        <w:rPr>
          <w:rFonts w:hint="eastAsia" w:asciiTheme="minorEastAsia" w:hAnsiTheme="minorEastAsia" w:eastAsiaTheme="minorEastAsia" w:cstheme="minorEastAsia"/>
        </w:rPr>
      </w:pPr>
    </w:p>
    <w:p>
      <w:pPr>
        <w:spacing w:line="560" w:lineRule="exact"/>
        <w:outlineLvl w:val="1"/>
        <w:rPr>
          <w:rFonts w:hint="eastAsia" w:asciiTheme="minorEastAsia" w:hAnsiTheme="minorEastAsia" w:eastAsiaTheme="minorEastAsia" w:cstheme="minorEastAsia"/>
          <w:kern w:val="0"/>
          <w:sz w:val="24"/>
        </w:rPr>
      </w:pPr>
      <w:bookmarkStart w:id="110" w:name="_Toc112680075"/>
      <w:r>
        <w:rPr>
          <w:rFonts w:hint="eastAsia" w:asciiTheme="minorEastAsia" w:hAnsiTheme="minorEastAsia" w:eastAsiaTheme="minorEastAsia" w:cstheme="minorEastAsia"/>
          <w:b/>
          <w:bCs/>
          <w:kern w:val="0"/>
          <w:sz w:val="24"/>
        </w:rPr>
        <w:t>医疗器械产品技术要求编号</w:t>
      </w:r>
      <w:r>
        <w:rPr>
          <w:rFonts w:hint="eastAsia" w:asciiTheme="minorEastAsia" w:hAnsiTheme="minorEastAsia" w:eastAsiaTheme="minorEastAsia" w:cstheme="minorEastAsia"/>
          <w:kern w:val="0"/>
          <w:sz w:val="24"/>
        </w:rPr>
        <w:t>：</w:t>
      </w:r>
      <w:bookmarkEnd w:id="110"/>
      <w:r>
        <w:rPr>
          <w:rFonts w:hint="eastAsia" w:asciiTheme="minorEastAsia" w:hAnsiTheme="minorEastAsia" w:eastAsiaTheme="minorEastAsia" w:cstheme="minorEastAsia"/>
          <w:b/>
          <w:bCs/>
          <w:sz w:val="24"/>
        </w:rPr>
        <w:t>（宋体小四号，加粗）</w:t>
      </w:r>
    </w:p>
    <w:p>
      <w:pPr>
        <w:spacing w:line="560" w:lineRule="exact"/>
        <w:jc w:val="center"/>
        <w:rPr>
          <w:rFonts w:hint="eastAsia" w:asciiTheme="minorEastAsia" w:hAnsiTheme="minorEastAsia" w:eastAsiaTheme="minorEastAsia" w:cstheme="minorEastAsia"/>
          <w:kern w:val="0"/>
          <w:sz w:val="24"/>
        </w:rPr>
      </w:pPr>
    </w:p>
    <w:p>
      <w:pPr>
        <w:spacing w:line="560" w:lineRule="exact"/>
        <w:jc w:val="center"/>
        <w:outlineLvl w:val="1"/>
        <w:rPr>
          <w:rFonts w:hint="eastAsia" w:asciiTheme="minorEastAsia" w:hAnsiTheme="minorEastAsia" w:eastAsiaTheme="minorEastAsia" w:cstheme="minorEastAsia"/>
          <w:sz w:val="36"/>
          <w:szCs w:val="36"/>
        </w:rPr>
      </w:pPr>
      <w:bookmarkStart w:id="111" w:name="_Toc112680076"/>
      <w:r>
        <w:rPr>
          <w:rFonts w:hint="eastAsia" w:asciiTheme="minorEastAsia" w:hAnsiTheme="minorEastAsia" w:eastAsiaTheme="minorEastAsia" w:cstheme="minorEastAsia"/>
          <w:b/>
          <w:bCs/>
          <w:kern w:val="0"/>
          <w:sz w:val="36"/>
          <w:szCs w:val="36"/>
        </w:rPr>
        <w:t>无创血糖仪、组合血糖仪</w:t>
      </w:r>
      <w:bookmarkEnd w:id="111"/>
      <w:r>
        <w:rPr>
          <w:rFonts w:hint="eastAsia" w:asciiTheme="minorEastAsia" w:hAnsiTheme="minorEastAsia" w:eastAsiaTheme="minorEastAsia" w:cstheme="minorEastAsia"/>
          <w:b/>
          <w:bCs/>
          <w:kern w:val="0"/>
          <w:sz w:val="36"/>
          <w:szCs w:val="36"/>
        </w:rPr>
        <w:t>、血糖仪</w:t>
      </w:r>
      <w:r>
        <w:rPr>
          <w:rFonts w:hint="eastAsia" w:asciiTheme="minorEastAsia" w:hAnsiTheme="minorEastAsia" w:eastAsiaTheme="minorEastAsia" w:cstheme="minorEastAsia"/>
          <w:b/>
          <w:bCs/>
          <w:sz w:val="36"/>
          <w:szCs w:val="36"/>
        </w:rPr>
        <w:t>（宋体小二号，加粗）</w:t>
      </w:r>
    </w:p>
    <w:p>
      <w:pPr>
        <w:spacing w:line="560" w:lineRule="exact"/>
        <w:jc w:val="center"/>
        <w:rPr>
          <w:rFonts w:hint="eastAsia" w:asciiTheme="minorEastAsia" w:hAnsiTheme="minorEastAsia" w:eastAsiaTheme="minorEastAsia" w:cstheme="minorEastAsia"/>
          <w:kern w:val="0"/>
          <w:sz w:val="24"/>
        </w:rPr>
      </w:pPr>
    </w:p>
    <w:p>
      <w:pPr>
        <w:numPr>
          <w:ilvl w:val="0"/>
          <w:numId w:val="20"/>
        </w:numPr>
        <w:spacing w:line="560" w:lineRule="exact"/>
        <w:ind w:left="0" w:firstLine="0"/>
        <w:outlineLvl w:val="1"/>
        <w:rPr>
          <w:rFonts w:hint="eastAsia" w:asciiTheme="minorEastAsia" w:hAnsiTheme="minorEastAsia" w:eastAsiaTheme="minorEastAsia" w:cstheme="minorEastAsia"/>
          <w:b/>
          <w:bCs/>
          <w:kern w:val="0"/>
          <w:sz w:val="24"/>
        </w:rPr>
      </w:pPr>
      <w:bookmarkStart w:id="112" w:name="_Toc112680077"/>
      <w:r>
        <w:rPr>
          <w:rFonts w:hint="eastAsia" w:asciiTheme="minorEastAsia" w:hAnsiTheme="minorEastAsia" w:eastAsiaTheme="minorEastAsia" w:cstheme="minorEastAsia"/>
          <w:b/>
          <w:bCs/>
          <w:kern w:val="0"/>
          <w:sz w:val="24"/>
        </w:rPr>
        <w:t>产品型号</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b/>
          <w:bCs/>
          <w:kern w:val="0"/>
          <w:sz w:val="24"/>
        </w:rPr>
        <w:t>规格及其划分说明</w:t>
      </w:r>
      <w:bookmarkEnd w:id="112"/>
      <w:bookmarkStart w:id="113" w:name="_Hlk114645236"/>
      <w:r>
        <w:rPr>
          <w:rFonts w:hint="eastAsia" w:asciiTheme="minorEastAsia" w:hAnsiTheme="minorEastAsia" w:eastAsiaTheme="minorEastAsia" w:cstheme="minorEastAsia"/>
          <w:b/>
          <w:bCs/>
          <w:sz w:val="24"/>
        </w:rPr>
        <w:t>（宋体小四号，加粗）</w:t>
      </w:r>
      <w:bookmarkEnd w:id="113"/>
    </w:p>
    <w:p>
      <w:pPr>
        <w:numPr>
          <w:ilvl w:val="1"/>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产品型号</w:t>
      </w:r>
      <w:r>
        <w:rPr>
          <w:rFonts w:hint="eastAsia" w:asciiTheme="minorEastAsia" w:hAnsiTheme="minorEastAsia" w:eastAsiaTheme="minorEastAsia" w:cstheme="minorEastAsia"/>
          <w:sz w:val="24"/>
        </w:rPr>
        <w:t>（宋体小四号）</w:t>
      </w:r>
    </w:p>
    <w:p>
      <w:pPr>
        <w:spacing w:line="560" w:lineRule="exact"/>
        <w:ind w:left="567"/>
        <w:rPr>
          <w:rFonts w:hint="eastAsia" w:asciiTheme="minorEastAsia" w:hAnsiTheme="minorEastAsia" w:eastAsiaTheme="minorEastAsia" w:cstheme="minorEastAsia"/>
          <w:sz w:val="24"/>
        </w:rPr>
      </w:pPr>
    </w:p>
    <w:p>
      <w:pPr>
        <w:numPr>
          <w:ilvl w:val="1"/>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产品规格</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按照随机文件和说明书，申请人应载明</w:t>
      </w:r>
      <w:r>
        <w:rPr>
          <w:rFonts w:hint="eastAsia" w:asciiTheme="minorEastAsia" w:hAnsiTheme="minorEastAsia" w:eastAsiaTheme="minorEastAsia" w:cstheme="minorEastAsia"/>
          <w:sz w:val="24"/>
        </w:rPr>
        <w:t>电源/电池规格。</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按照随机文件和说明书，申请人应载明患者应用附件的示意图/彩色图片、结构、规格等。</w:t>
      </w:r>
    </w:p>
    <w:p>
      <w:pPr>
        <w:numPr>
          <w:ilvl w:val="2"/>
          <w:numId w:val="20"/>
        </w:num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电源/电池规格</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交流电源的规格，例如，额定电压、额定电流、额定功率等。</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内部电池的规格，例如，电池类型（镍氢电池、锂离子电池等），额定电流，最长供电时间等。</w:t>
      </w:r>
    </w:p>
    <w:p>
      <w:pPr>
        <w:numPr>
          <w:ilvl w:val="2"/>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附件的规格</w:t>
      </w:r>
    </w:p>
    <w:p>
      <w:pPr>
        <w:numPr>
          <w:ilvl w:val="3"/>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附件的结构示意图/彩色图片</w:t>
      </w:r>
    </w:p>
    <w:p>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numPr>
          <w:ilvl w:val="3"/>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附件的规格</w:t>
      </w:r>
    </w:p>
    <w:p>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附件的物理尺寸、导线的规格等。</w:t>
      </w:r>
    </w:p>
    <w:p>
      <w:pPr>
        <w:numPr>
          <w:ilvl w:val="1"/>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产品型号的划分说明</w:t>
      </w:r>
    </w:p>
    <w:p>
      <w:pPr>
        <w:spacing w:line="560" w:lineRule="exact"/>
        <w:ind w:left="5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w:t>
      </w:r>
    </w:p>
    <w:p>
      <w:pPr>
        <w:numPr>
          <w:ilvl w:val="1"/>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软件组件</w:t>
      </w:r>
    </w:p>
    <w:p>
      <w:pPr>
        <w:numPr>
          <w:ilvl w:val="2"/>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p>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申请人应按照软件研究资料载明软件组件的名称。</w:t>
      </w:r>
    </w:p>
    <w:p>
      <w:pPr>
        <w:numPr>
          <w:ilvl w:val="2"/>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发布版本</w:t>
      </w:r>
    </w:p>
    <w:p>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申请人应按照软件研究资料载明软件组件的发布版本。</w:t>
      </w:r>
    </w:p>
    <w:p>
      <w:pPr>
        <w:numPr>
          <w:ilvl w:val="2"/>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版本命名规则</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申请人应</w:t>
      </w:r>
      <w:r>
        <w:rPr>
          <w:rFonts w:hint="eastAsia" w:asciiTheme="minorEastAsia" w:hAnsiTheme="minorEastAsia" w:eastAsiaTheme="minorEastAsia" w:cstheme="minorEastAsia"/>
          <w:kern w:val="0"/>
          <w:sz w:val="24"/>
        </w:rPr>
        <w:t>按照软件研究资料</w:t>
      </w:r>
      <w:r>
        <w:rPr>
          <w:rFonts w:hint="eastAsia" w:asciiTheme="minorEastAsia" w:hAnsiTheme="minorEastAsia" w:eastAsiaTheme="minorEastAsia" w:cstheme="minorEastAsia"/>
          <w:sz w:val="24"/>
        </w:rPr>
        <w:t>载明软件完整版本的全部字段及字段含义。</w:t>
      </w:r>
    </w:p>
    <w:p>
      <w:pPr>
        <w:numPr>
          <w:ilvl w:val="0"/>
          <w:numId w:val="20"/>
        </w:numPr>
        <w:spacing w:line="560" w:lineRule="exact"/>
        <w:ind w:left="0" w:firstLine="0"/>
        <w:outlineLvl w:val="1"/>
        <w:rPr>
          <w:rFonts w:hint="eastAsia" w:asciiTheme="minorEastAsia" w:hAnsiTheme="minorEastAsia" w:eastAsiaTheme="minorEastAsia" w:cstheme="minorEastAsia"/>
          <w:b/>
          <w:bCs/>
          <w:kern w:val="0"/>
          <w:sz w:val="24"/>
        </w:rPr>
      </w:pPr>
      <w:bookmarkStart w:id="114" w:name="_Toc112680078"/>
      <w:bookmarkStart w:id="115" w:name="_Ref114645299"/>
      <w:r>
        <w:rPr>
          <w:rFonts w:hint="eastAsia" w:asciiTheme="minorEastAsia" w:hAnsiTheme="minorEastAsia" w:eastAsiaTheme="minorEastAsia" w:cstheme="minorEastAsia"/>
          <w:b/>
          <w:bCs/>
          <w:kern w:val="0"/>
          <w:sz w:val="24"/>
        </w:rPr>
        <w:t>性能指标</w:t>
      </w:r>
      <w:bookmarkEnd w:id="114"/>
      <w:r>
        <w:rPr>
          <w:rFonts w:hint="eastAsia" w:asciiTheme="minorEastAsia" w:hAnsiTheme="minorEastAsia" w:eastAsiaTheme="minorEastAsia" w:cstheme="minorEastAsia"/>
          <w:b/>
          <w:bCs/>
          <w:sz w:val="24"/>
        </w:rPr>
        <w:t>（宋体小四号，加粗）</w:t>
      </w:r>
      <w:bookmarkEnd w:id="115"/>
    </w:p>
    <w:p>
      <w:pPr>
        <w:numPr>
          <w:ilvl w:val="1"/>
          <w:numId w:val="20"/>
        </w:numPr>
        <w:spacing w:line="560" w:lineRule="exact"/>
        <w:ind w:left="0" w:firstLine="0"/>
        <w:outlineLvl w:val="2"/>
        <w:rPr>
          <w:rFonts w:hint="eastAsia" w:asciiTheme="minorEastAsia" w:hAnsiTheme="minorEastAsia" w:eastAsiaTheme="minorEastAsia" w:cstheme="minorEastAsia"/>
          <w:sz w:val="24"/>
        </w:rPr>
      </w:pPr>
      <w:bookmarkStart w:id="116" w:name="_Toc112680079"/>
      <w:r>
        <w:rPr>
          <w:rFonts w:hint="eastAsia" w:asciiTheme="minorEastAsia" w:hAnsiTheme="minorEastAsia" w:eastAsiaTheme="minorEastAsia" w:cstheme="minorEastAsia"/>
          <w:sz w:val="24"/>
        </w:rPr>
        <w:t>测量传感器的性能要求</w:t>
      </w:r>
      <w:bookmarkEnd w:id="116"/>
    </w:p>
    <w:p>
      <w:pPr>
        <w:numPr>
          <w:ilvl w:val="2"/>
          <w:numId w:val="20"/>
        </w:numPr>
        <w:spacing w:line="560" w:lineRule="exact"/>
        <w:ind w:left="0" w:firstLine="0"/>
        <w:outlineLvl w:val="3"/>
        <w:rPr>
          <w:rFonts w:hint="eastAsia" w:asciiTheme="minorEastAsia" w:hAnsiTheme="minorEastAsia" w:eastAsiaTheme="minorEastAsia" w:cstheme="minorEastAsia"/>
          <w:sz w:val="24"/>
        </w:rPr>
      </w:pPr>
      <w:bookmarkStart w:id="117" w:name="_Toc112680080"/>
      <w:r>
        <w:rPr>
          <w:rFonts w:hint="eastAsia" w:asciiTheme="minorEastAsia" w:hAnsiTheme="minorEastAsia" w:eastAsiaTheme="minorEastAsia" w:cstheme="minorEastAsia"/>
          <w:sz w:val="24"/>
        </w:rPr>
        <w:t>……</w:t>
      </w:r>
      <w:bookmarkEnd w:id="117"/>
    </w:p>
    <w:p>
      <w:pPr>
        <w:spacing w:line="56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p>
      <w:pPr>
        <w:numPr>
          <w:ilvl w:val="1"/>
          <w:numId w:val="20"/>
        </w:numPr>
        <w:spacing w:line="560" w:lineRule="exact"/>
        <w:ind w:left="0" w:firstLine="0"/>
        <w:outlineLvl w:val="2"/>
        <w:rPr>
          <w:rFonts w:hint="eastAsia" w:asciiTheme="minorEastAsia" w:hAnsiTheme="minorEastAsia" w:eastAsiaTheme="minorEastAsia" w:cstheme="minorEastAsia"/>
          <w:sz w:val="24"/>
        </w:rPr>
      </w:pPr>
      <w:bookmarkStart w:id="118" w:name="_Toc112680081"/>
      <w:bookmarkStart w:id="119" w:name="_Ref449388567"/>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检测的</w:t>
      </w:r>
      <w:r>
        <w:rPr>
          <w:rFonts w:hint="eastAsia" w:asciiTheme="minorEastAsia" w:hAnsiTheme="minorEastAsia" w:eastAsiaTheme="minorEastAsia" w:cstheme="minorEastAsia"/>
          <w:sz w:val="24"/>
        </w:rPr>
        <w:t>性能要求</w:t>
      </w:r>
      <w:bookmarkEnd w:id="118"/>
    </w:p>
    <w:p>
      <w:pPr>
        <w:numPr>
          <w:ilvl w:val="2"/>
          <w:numId w:val="20"/>
        </w:numPr>
        <w:spacing w:line="560" w:lineRule="exact"/>
        <w:ind w:left="0" w:firstLine="0"/>
        <w:outlineLvl w:val="3"/>
        <w:rPr>
          <w:rFonts w:hint="eastAsia" w:asciiTheme="minorEastAsia" w:hAnsiTheme="minorEastAsia" w:eastAsiaTheme="minorEastAsia" w:cstheme="minorEastAsia"/>
          <w:sz w:val="24"/>
        </w:rPr>
      </w:pPr>
      <w:bookmarkStart w:id="120" w:name="_Ref112661957"/>
      <w:bookmarkStart w:id="121" w:name="_Toc112680082"/>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sz w:val="24"/>
        </w:rPr>
        <w:t>范围</w:t>
      </w:r>
      <w:bookmarkEnd w:id="120"/>
      <w:bookmarkEnd w:id="121"/>
    </w:p>
    <w:p>
      <w:pPr>
        <w:spacing w:line="56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申请人宜按照产品设计需求确定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例如，1.1mmol/L</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27.7mmol/L</w:t>
      </w:r>
      <w:r>
        <w:rPr>
          <w:rFonts w:hint="eastAsia" w:asciiTheme="minorEastAsia" w:hAnsiTheme="minorEastAsia" w:eastAsiaTheme="minorEastAsia" w:cstheme="minorEastAsia"/>
          <w:kern w:val="0"/>
          <w:sz w:val="24"/>
        </w:rPr>
        <w:t>。</w:t>
      </w:r>
    </w:p>
    <w:p>
      <w:pPr>
        <w:numPr>
          <w:ilvl w:val="2"/>
          <w:numId w:val="20"/>
        </w:numPr>
        <w:spacing w:line="560" w:lineRule="exact"/>
        <w:ind w:left="0" w:firstLine="0"/>
        <w:outlineLvl w:val="3"/>
        <w:rPr>
          <w:rFonts w:hint="eastAsia" w:asciiTheme="minorEastAsia" w:hAnsiTheme="minorEastAsia" w:eastAsiaTheme="minorEastAsia" w:cstheme="minorEastAsia"/>
          <w:sz w:val="24"/>
        </w:rPr>
      </w:pPr>
      <w:bookmarkStart w:id="122" w:name="_Toc112680083"/>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检测的</w:t>
      </w:r>
      <w:r>
        <w:rPr>
          <w:rFonts w:hint="eastAsia" w:asciiTheme="minorEastAsia" w:hAnsiTheme="minorEastAsia" w:eastAsiaTheme="minorEastAsia" w:cstheme="minorEastAsia"/>
          <w:sz w:val="24"/>
        </w:rPr>
        <w:t>精确度</w:t>
      </w:r>
      <w:bookmarkEnd w:id="122"/>
    </w:p>
    <w:p>
      <w:pPr>
        <w:numPr>
          <w:ilvl w:val="3"/>
          <w:numId w:val="20"/>
        </w:numPr>
        <w:spacing w:line="560" w:lineRule="exact"/>
        <w:ind w:left="0" w:firstLine="0"/>
        <w:outlineLvl w:val="4"/>
        <w:rPr>
          <w:rFonts w:hint="eastAsia" w:asciiTheme="minorEastAsia" w:hAnsiTheme="minorEastAsia" w:eastAsiaTheme="minorEastAsia" w:cstheme="minorEastAsia"/>
          <w:sz w:val="24"/>
        </w:rPr>
      </w:pPr>
      <w:bookmarkStart w:id="123" w:name="_Ref112662350"/>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检测的</w:t>
      </w:r>
      <w:r>
        <w:rPr>
          <w:rFonts w:hint="eastAsia" w:asciiTheme="minorEastAsia" w:hAnsiTheme="minorEastAsia" w:eastAsiaTheme="minorEastAsia" w:cstheme="minorEastAsia"/>
          <w:sz w:val="24"/>
        </w:rPr>
        <w:t>准确度</w:t>
      </w:r>
      <w:bookmarkEnd w:id="123"/>
    </w:p>
    <w:p>
      <w:pPr>
        <w:spacing w:line="560" w:lineRule="exact"/>
        <w:ind w:firstLine="482"/>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申请人宜按照产品设计需求确定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例如，无创血糖测量结果偏差的95%应符合</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REF _Ref112660667 \h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sz w:val="24"/>
        </w:rPr>
        <w:t>表3</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的要求。</w:t>
      </w:r>
    </w:p>
    <w:p>
      <w:pPr>
        <w:pStyle w:val="7"/>
        <w:keepNext/>
        <w:spacing w:line="560" w:lineRule="exact"/>
        <w:jc w:val="center"/>
        <w:rPr>
          <w:rFonts w:hint="eastAsia" w:asciiTheme="minorEastAsia" w:hAnsiTheme="minorEastAsia" w:eastAsiaTheme="minorEastAsia" w:cstheme="minorEastAsia"/>
          <w:sz w:val="24"/>
          <w:szCs w:val="24"/>
        </w:rPr>
      </w:pPr>
      <w:bookmarkStart w:id="124" w:name="_Ref112660667"/>
      <w:r>
        <w:rPr>
          <w:rFonts w:hint="eastAsia" w:asciiTheme="minorEastAsia" w:hAnsiTheme="minorEastAsia" w:eastAsiaTheme="minorEastAsia" w:cstheme="minorEastAsia"/>
          <w:sz w:val="24"/>
          <w:szCs w:val="24"/>
        </w:rPr>
        <w:t>表</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bookmarkEnd w:id="124"/>
      <w:r>
        <w:rPr>
          <w:rFonts w:hint="eastAsia" w:asciiTheme="minorEastAsia" w:hAnsiTheme="minorEastAsia" w:eastAsiaTheme="minorEastAsia" w:cstheme="minorEastAsia"/>
          <w:sz w:val="24"/>
          <w:szCs w:val="24"/>
        </w:rPr>
        <w:t xml:space="preserve"> 准确度要求</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sz w:val="24"/>
              </w:rPr>
              <w:t>范围</w:t>
            </w:r>
          </w:p>
        </w:tc>
        <w:tc>
          <w:tcPr>
            <w:tcW w:w="5243" w:type="dxa"/>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血糖浓度</w:t>
            </w:r>
            <w:r>
              <w:rPr>
                <w:rFonts w:hint="eastAsia" w:asciiTheme="minorEastAsia" w:hAnsiTheme="minorEastAsia" w:eastAsiaTheme="minorEastAsia" w:cstheme="minorEastAsia"/>
                <w:sz w:val="24"/>
              </w:rPr>
              <w:t xml:space="preserve"> &lt;</w:t>
            </w:r>
            <w:r>
              <w:rPr>
                <w:rFonts w:hint="eastAsia" w:asciiTheme="minorEastAsia" w:hAnsiTheme="minorEastAsia" w:eastAsiaTheme="minorEastAsia" w:cstheme="minorEastAsia"/>
                <w:sz w:val="24"/>
              </w:rPr>
              <w:t xml:space="preserve"> 5.5 mmol/L</w:t>
            </w:r>
          </w:p>
        </w:tc>
        <w:tc>
          <w:tcPr>
            <w:tcW w:w="5243"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0.83mmol/L (± 15mg/dL)的范围内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血糖浓度</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5.5 mmol/L</w:t>
            </w:r>
          </w:p>
        </w:tc>
        <w:tc>
          <w:tcPr>
            <w:tcW w:w="5243"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15%的范围内</w:t>
            </w:r>
          </w:p>
        </w:tc>
      </w:tr>
    </w:tbl>
    <w:p>
      <w:pPr>
        <w:numPr>
          <w:ilvl w:val="3"/>
          <w:numId w:val="20"/>
        </w:numPr>
        <w:spacing w:line="560" w:lineRule="exact"/>
        <w:ind w:left="0" w:firstLine="0"/>
        <w:outlineLvl w:val="4"/>
        <w:rPr>
          <w:rFonts w:hint="eastAsia" w:asciiTheme="minorEastAsia" w:hAnsiTheme="minorEastAsia" w:eastAsiaTheme="minorEastAsia" w:cstheme="minorEastAsia"/>
          <w:sz w:val="24"/>
        </w:rPr>
      </w:pPr>
      <w:bookmarkStart w:id="125" w:name="_Ref112662372"/>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检测的精密</w:t>
      </w:r>
      <w:r>
        <w:rPr>
          <w:rFonts w:hint="eastAsia" w:asciiTheme="minorEastAsia" w:hAnsiTheme="minorEastAsia" w:eastAsiaTheme="minorEastAsia" w:cstheme="minorEastAsia"/>
          <w:sz w:val="24"/>
        </w:rPr>
        <w:t>度</w:t>
      </w:r>
      <w:bookmarkEnd w:id="125"/>
    </w:p>
    <w:p>
      <w:pPr>
        <w:spacing w:line="560" w:lineRule="exact"/>
        <w:ind w:firstLine="482"/>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申请人宜按照产品设计需求确定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例如，无创血糖</w:t>
      </w: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kern w:val="0"/>
          <w:sz w:val="24"/>
        </w:rPr>
        <w:t>结果的精密度应符合</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REF _Ref112661494 \h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sz w:val="24"/>
        </w:rPr>
        <w:t>表4</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的要求。</w:t>
      </w:r>
    </w:p>
    <w:p>
      <w:pPr>
        <w:pStyle w:val="7"/>
        <w:keepNext/>
        <w:spacing w:line="560" w:lineRule="exact"/>
        <w:jc w:val="center"/>
        <w:rPr>
          <w:rFonts w:hint="eastAsia" w:asciiTheme="minorEastAsia" w:hAnsiTheme="minorEastAsia" w:eastAsiaTheme="minorEastAsia" w:cstheme="minorEastAsia"/>
          <w:sz w:val="24"/>
          <w:szCs w:val="24"/>
        </w:rPr>
      </w:pPr>
      <w:bookmarkStart w:id="126" w:name="_Ref112661494"/>
      <w:r>
        <w:rPr>
          <w:rFonts w:hint="eastAsia" w:asciiTheme="minorEastAsia" w:hAnsiTheme="minorEastAsia" w:eastAsiaTheme="minorEastAsia" w:cstheme="minorEastAsia"/>
          <w:sz w:val="24"/>
          <w:szCs w:val="24"/>
        </w:rPr>
        <w:t>表</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bookmarkEnd w:id="126"/>
      <w:r>
        <w:rPr>
          <w:rFonts w:hint="eastAsia" w:asciiTheme="minorEastAsia" w:hAnsiTheme="minorEastAsia" w:eastAsiaTheme="minorEastAsia" w:cstheme="minorEastAsia"/>
          <w:sz w:val="24"/>
          <w:szCs w:val="24"/>
        </w:rPr>
        <w:t xml:space="preserve"> 精密度要求</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0"/>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检测范围</w:t>
            </w:r>
          </w:p>
        </w:tc>
        <w:tc>
          <w:tcPr>
            <w:tcW w:w="5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精密度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血糖浓度</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&lt; 5.5 mmol/L</w:t>
            </w:r>
          </w:p>
        </w:tc>
        <w:tc>
          <w:tcPr>
            <w:tcW w:w="5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标准差(Standard Deviation, SD) &lt; 0.42 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血糖浓度 ≥ 5.5 mmol/L</w:t>
            </w:r>
          </w:p>
        </w:tc>
        <w:tc>
          <w:tcPr>
            <w:tcW w:w="521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变异系数(Coefficient of Variation, CV) &lt; 7.5%</w:t>
            </w:r>
          </w:p>
        </w:tc>
      </w:tr>
    </w:tbl>
    <w:p>
      <w:pPr>
        <w:numPr>
          <w:ilvl w:val="1"/>
          <w:numId w:val="20"/>
        </w:numPr>
        <w:spacing w:line="560" w:lineRule="exact"/>
        <w:ind w:left="0" w:firstLine="0"/>
        <w:outlineLvl w:val="2"/>
        <w:rPr>
          <w:rFonts w:hint="eastAsia" w:asciiTheme="minorEastAsia" w:hAnsiTheme="minorEastAsia" w:eastAsiaTheme="minorEastAsia" w:cstheme="minorEastAsia"/>
          <w:sz w:val="24"/>
        </w:rPr>
      </w:pPr>
      <w:bookmarkStart w:id="127" w:name="_Toc112680084"/>
      <w:r>
        <w:rPr>
          <w:rFonts w:hint="eastAsia" w:asciiTheme="minorEastAsia" w:hAnsiTheme="minorEastAsia" w:eastAsiaTheme="minorEastAsia" w:cstheme="minorEastAsia"/>
          <w:sz w:val="24"/>
        </w:rPr>
        <w:t>安全和性能标准</w:t>
      </w:r>
      <w:bookmarkEnd w:id="119"/>
      <w:r>
        <w:rPr>
          <w:rFonts w:hint="eastAsia" w:asciiTheme="minorEastAsia" w:hAnsiTheme="minorEastAsia" w:eastAsiaTheme="minorEastAsia" w:cstheme="minorEastAsia"/>
          <w:sz w:val="24"/>
        </w:rPr>
        <w:t>要求</w:t>
      </w:r>
      <w:bookmarkEnd w:id="127"/>
    </w:p>
    <w:p>
      <w:pPr>
        <w:spacing w:line="560" w:lineRule="exact"/>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申请人应</w:t>
      </w:r>
      <w:r>
        <w:rPr>
          <w:rFonts w:hint="eastAsia" w:asciiTheme="minorEastAsia" w:hAnsiTheme="minorEastAsia" w:eastAsiaTheme="minorEastAsia" w:cstheme="minorEastAsia"/>
          <w:sz w:val="24"/>
        </w:rPr>
        <w:t>明确产品适用的</w:t>
      </w:r>
      <w:r>
        <w:rPr>
          <w:rFonts w:hint="eastAsia" w:asciiTheme="minorEastAsia" w:hAnsiTheme="minorEastAsia" w:eastAsiaTheme="minorEastAsia" w:cstheme="minorEastAsia"/>
          <w:sz w:val="24"/>
        </w:rPr>
        <w:t>强制性</w:t>
      </w:r>
      <w:r>
        <w:rPr>
          <w:rFonts w:hint="eastAsia" w:asciiTheme="minorEastAsia" w:hAnsiTheme="minorEastAsia" w:eastAsiaTheme="minorEastAsia" w:cstheme="minorEastAsia"/>
          <w:sz w:val="24"/>
        </w:rPr>
        <w:t>安全和性能标准，例如，</w:t>
      </w:r>
      <w:r>
        <w:rPr>
          <w:rFonts w:hint="eastAsia" w:asciiTheme="minorEastAsia" w:hAnsiTheme="minorEastAsia" w:eastAsiaTheme="minorEastAsia" w:cstheme="minorEastAsia"/>
          <w:sz w:val="24"/>
        </w:rPr>
        <w:t>该产品应符合</w:t>
      </w:r>
      <w:r>
        <w:rPr>
          <w:rFonts w:hint="eastAsia" w:asciiTheme="minorEastAsia" w:hAnsiTheme="minorEastAsia" w:eastAsiaTheme="minorEastAsia" w:cstheme="minorEastAsia"/>
          <w:sz w:val="24"/>
        </w:rPr>
        <w:t>GB 9706.1、GB 9706.15-2008、YY 9706.102或YY 0505、YY 9706.108、YY 9706.111、YY 9706.256、YY 0709、YY 9706.261或YY 0784、YY 0785标准要求</w:t>
      </w:r>
      <w:r>
        <w:rPr>
          <w:rFonts w:hint="eastAsia" w:asciiTheme="minorEastAsia" w:hAnsiTheme="minorEastAsia" w:eastAsiaTheme="minorEastAsia" w:cstheme="minorEastAsia"/>
          <w:sz w:val="24"/>
        </w:rPr>
        <w:t>。</w:t>
      </w:r>
    </w:p>
    <w:p>
      <w:pPr>
        <w:spacing w:line="560" w:lineRule="exact"/>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产品主要安全特征见附录A。</w:t>
      </w:r>
    </w:p>
    <w:p>
      <w:pPr>
        <w:numPr>
          <w:ilvl w:val="0"/>
          <w:numId w:val="20"/>
        </w:numPr>
        <w:spacing w:line="560" w:lineRule="exact"/>
        <w:ind w:left="0" w:firstLine="0"/>
        <w:outlineLvl w:val="1"/>
        <w:rPr>
          <w:rFonts w:hint="eastAsia" w:asciiTheme="minorEastAsia" w:hAnsiTheme="minorEastAsia" w:eastAsiaTheme="minorEastAsia" w:cstheme="minorEastAsia"/>
          <w:b/>
          <w:bCs/>
          <w:kern w:val="0"/>
          <w:sz w:val="24"/>
        </w:rPr>
      </w:pPr>
      <w:bookmarkStart w:id="128" w:name="_Toc112680085"/>
      <w:r>
        <w:rPr>
          <w:rFonts w:hint="eastAsia" w:asciiTheme="minorEastAsia" w:hAnsiTheme="minorEastAsia" w:eastAsiaTheme="minorEastAsia" w:cstheme="minorEastAsia"/>
          <w:b/>
          <w:bCs/>
          <w:kern w:val="0"/>
          <w:sz w:val="24"/>
        </w:rPr>
        <w:t>检验方法</w:t>
      </w:r>
      <w:bookmarkEnd w:id="128"/>
      <w:r>
        <w:rPr>
          <w:rFonts w:hint="eastAsia" w:asciiTheme="minorEastAsia" w:hAnsiTheme="minorEastAsia" w:eastAsiaTheme="minorEastAsia" w:cstheme="minorEastAsia"/>
          <w:b/>
          <w:bCs/>
          <w:sz w:val="24"/>
        </w:rPr>
        <w:t>（宋体小四号，加粗）</w:t>
      </w:r>
    </w:p>
    <w:p>
      <w:pPr>
        <w:spacing w:line="56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申请人应</w:t>
      </w:r>
      <w:r>
        <w:rPr>
          <w:rFonts w:hint="eastAsia" w:asciiTheme="minorEastAsia" w:hAnsiTheme="minorEastAsia" w:eastAsiaTheme="minorEastAsia" w:cstheme="minorEastAsia"/>
          <w:kern w:val="0"/>
          <w:sz w:val="24"/>
        </w:rPr>
        <w:t>按照</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w:instrText>
      </w:r>
      <w:r>
        <w:rPr>
          <w:rFonts w:hint="eastAsia" w:asciiTheme="minorEastAsia" w:hAnsiTheme="minorEastAsia" w:eastAsiaTheme="minorEastAsia" w:cstheme="minorEastAsia"/>
          <w:kern w:val="0"/>
          <w:sz w:val="24"/>
        </w:rPr>
        <w:instrText xml:space="preserve">REF _Ref114645299 \r \h</w:instrText>
      </w:r>
      <w:r>
        <w:rPr>
          <w:rFonts w:hint="eastAsia" w:asciiTheme="minorEastAsia" w:hAnsiTheme="minorEastAsia" w:eastAsiaTheme="minorEastAsia" w:cstheme="minorEastAsia"/>
          <w:kern w:val="0"/>
          <w:sz w:val="24"/>
        </w:rPr>
        <w:instrText xml:space="preserve">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REF _Ref114645299 \h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kern w:val="0"/>
          <w:sz w:val="24"/>
        </w:rPr>
        <w:t>性能指标</w:t>
      </w:r>
      <w:r>
        <w:rPr>
          <w:rFonts w:hint="eastAsia" w:asciiTheme="minorEastAsia" w:hAnsiTheme="minorEastAsia" w:eastAsiaTheme="minorEastAsia" w:cstheme="minorEastAsia"/>
          <w:kern w:val="0"/>
          <w:sz w:val="24"/>
        </w:rPr>
        <w:t>（宋体小四号，加粗）</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的具体条款，逐项制定检验方法</w:t>
      </w:r>
      <w:r>
        <w:rPr>
          <w:rFonts w:hint="eastAsia" w:asciiTheme="minorEastAsia" w:hAnsiTheme="minorEastAsia" w:eastAsiaTheme="minorEastAsia" w:cstheme="minorEastAsia"/>
          <w:kern w:val="0"/>
          <w:sz w:val="24"/>
        </w:rPr>
        <w:t>。</w:t>
      </w:r>
    </w:p>
    <w:p>
      <w:pPr>
        <w:numPr>
          <w:ilvl w:val="1"/>
          <w:numId w:val="20"/>
        </w:numPr>
        <w:spacing w:line="560" w:lineRule="exact"/>
        <w:ind w:left="0" w:firstLine="0"/>
        <w:outlineLvl w:val="2"/>
        <w:rPr>
          <w:rFonts w:hint="eastAsia" w:asciiTheme="minorEastAsia" w:hAnsiTheme="minorEastAsia" w:eastAsiaTheme="minorEastAsia" w:cstheme="minorEastAsia"/>
          <w:sz w:val="24"/>
        </w:rPr>
      </w:pPr>
      <w:bookmarkStart w:id="129" w:name="_Toc112680086"/>
      <w:r>
        <w:rPr>
          <w:rFonts w:hint="eastAsia" w:asciiTheme="minorEastAsia" w:hAnsiTheme="minorEastAsia" w:eastAsiaTheme="minorEastAsia" w:cstheme="minorEastAsia"/>
          <w:sz w:val="24"/>
        </w:rPr>
        <w:t>测量传感器的性能要求</w:t>
      </w:r>
      <w:bookmarkEnd w:id="129"/>
    </w:p>
    <w:p>
      <w:pPr>
        <w:numPr>
          <w:ilvl w:val="2"/>
          <w:numId w:val="20"/>
        </w:numPr>
        <w:spacing w:line="560" w:lineRule="exact"/>
        <w:ind w:left="0"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pacing w:line="56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p>
      <w:pPr>
        <w:numPr>
          <w:ilvl w:val="1"/>
          <w:numId w:val="20"/>
        </w:numPr>
        <w:spacing w:line="560" w:lineRule="exact"/>
        <w:ind w:left="0" w:firstLine="0"/>
        <w:outlineLvl w:val="2"/>
        <w:rPr>
          <w:rFonts w:hint="eastAsia" w:asciiTheme="minorEastAsia" w:hAnsiTheme="minorEastAsia" w:eastAsiaTheme="minorEastAsia" w:cstheme="minorEastAsia"/>
          <w:sz w:val="24"/>
        </w:rPr>
      </w:pPr>
      <w:bookmarkStart w:id="130" w:name="_Toc112680087"/>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检测的</w:t>
      </w:r>
      <w:r>
        <w:rPr>
          <w:rFonts w:hint="eastAsia" w:asciiTheme="minorEastAsia" w:hAnsiTheme="minorEastAsia" w:eastAsiaTheme="minorEastAsia" w:cstheme="minorEastAsia"/>
          <w:sz w:val="24"/>
        </w:rPr>
        <w:t>性能要求</w:t>
      </w:r>
      <w:bookmarkEnd w:id="130"/>
    </w:p>
    <w:p>
      <w:pPr>
        <w:numPr>
          <w:ilvl w:val="2"/>
          <w:numId w:val="20"/>
        </w:numPr>
        <w:spacing w:line="560" w:lineRule="exact"/>
        <w:outlineLvl w:val="3"/>
        <w:rPr>
          <w:rFonts w:hint="eastAsia" w:asciiTheme="minorEastAsia" w:hAnsiTheme="minorEastAsia" w:eastAsiaTheme="minorEastAsia" w:cstheme="minorEastAsia"/>
          <w:sz w:val="24"/>
        </w:rPr>
      </w:pPr>
      <w:bookmarkStart w:id="131" w:name="_Toc112680088"/>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sz w:val="24"/>
        </w:rPr>
        <w:t>范围</w:t>
      </w:r>
      <w:bookmarkEnd w:id="131"/>
    </w:p>
    <w:p>
      <w:pPr>
        <w:spacing w:line="56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……，应符合</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REF _Ref112661957 \r \h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kern w:val="0"/>
          <w:sz w:val="24"/>
        </w:rPr>
        <w:t>2.2.1</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的要求。</w:t>
      </w:r>
    </w:p>
    <w:p>
      <w:pPr>
        <w:numPr>
          <w:ilvl w:val="2"/>
          <w:numId w:val="20"/>
        </w:numPr>
        <w:spacing w:line="560" w:lineRule="exact"/>
        <w:ind w:left="0" w:firstLine="0"/>
        <w:outlineLvl w:val="3"/>
        <w:rPr>
          <w:rFonts w:hint="eastAsia" w:asciiTheme="minorEastAsia" w:hAnsiTheme="minorEastAsia" w:eastAsiaTheme="minorEastAsia" w:cstheme="minorEastAsia"/>
          <w:sz w:val="24"/>
        </w:rPr>
      </w:pPr>
      <w:bookmarkStart w:id="132" w:name="_Toc112680089"/>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rPr>
        <w:t>精确度</w:t>
      </w:r>
      <w:bookmarkEnd w:id="132"/>
    </w:p>
    <w:p>
      <w:pPr>
        <w:numPr>
          <w:ilvl w:val="3"/>
          <w:numId w:val="20"/>
        </w:numPr>
        <w:spacing w:line="560" w:lineRule="exact"/>
        <w:ind w:left="0" w:firstLine="0"/>
        <w:outlineLvl w:val="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rPr>
        <w:t>准确度</w:t>
      </w:r>
    </w:p>
    <w:p>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……，应符合</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REF _Ref112662350 \r \h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kern w:val="0"/>
          <w:sz w:val="24"/>
        </w:rPr>
        <w:t>2.2.2.1</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的要求。</w:t>
      </w:r>
    </w:p>
    <w:p>
      <w:pPr>
        <w:numPr>
          <w:ilvl w:val="3"/>
          <w:numId w:val="20"/>
        </w:numPr>
        <w:spacing w:line="560" w:lineRule="exact"/>
        <w:ind w:left="0" w:firstLine="0"/>
        <w:outlineLvl w:val="4"/>
        <w:rPr>
          <w:rFonts w:hint="eastAsia" w:asciiTheme="minorEastAsia" w:hAnsiTheme="minorEastAsia" w:eastAsiaTheme="minorEastAsia" w:cstheme="minorEastAsia"/>
          <w:sz w:val="24"/>
        </w:rPr>
      </w:pPr>
      <w:bookmarkStart w:id="133" w:name="_Ref112662359"/>
      <w:r>
        <w:rPr>
          <w:rFonts w:hint="eastAsia" w:asciiTheme="minorEastAsia" w:hAnsiTheme="minorEastAsia" w:eastAsiaTheme="minorEastAsia" w:cstheme="minorEastAsia"/>
          <w:sz w:val="24"/>
        </w:rPr>
        <w:t>无创血糖</w:t>
      </w:r>
      <w:r>
        <w:rPr>
          <w:rFonts w:hint="eastAsia" w:asciiTheme="minorEastAsia" w:hAnsiTheme="minorEastAsia" w:eastAsiaTheme="minorEastAsia" w:cstheme="minorEastAsia"/>
          <w:sz w:val="24"/>
        </w:rPr>
        <w:t>检测</w:t>
      </w:r>
      <w:r>
        <w:rPr>
          <w:rFonts w:hint="eastAsia" w:asciiTheme="minorEastAsia" w:hAnsiTheme="minorEastAsia" w:eastAsiaTheme="minorEastAsia" w:cstheme="minorEastAsia"/>
          <w:sz w:val="24"/>
        </w:rPr>
        <w:t>的精密</w:t>
      </w:r>
      <w:r>
        <w:rPr>
          <w:rFonts w:hint="eastAsia" w:asciiTheme="minorEastAsia" w:hAnsiTheme="minorEastAsia" w:eastAsiaTheme="minorEastAsia" w:cstheme="minorEastAsia"/>
          <w:sz w:val="24"/>
        </w:rPr>
        <w:t>度</w:t>
      </w:r>
      <w:bookmarkEnd w:id="133"/>
    </w:p>
    <w:p>
      <w:pPr>
        <w:spacing w:line="56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……，应符合</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REF _Ref112662372 \r \h  \* MERGEFORMAT </w:instrText>
      </w:r>
      <w:r>
        <w:rPr>
          <w:rFonts w:hint="eastAsia" w:asciiTheme="minorEastAsia" w:hAnsiTheme="minorEastAsia" w:eastAsiaTheme="minorEastAsia" w:cstheme="minorEastAsia"/>
          <w:kern w:val="0"/>
          <w:sz w:val="24"/>
        </w:rPr>
        <w:fldChar w:fldCharType="separate"/>
      </w:r>
      <w:r>
        <w:rPr>
          <w:rFonts w:hint="eastAsia" w:asciiTheme="minorEastAsia" w:hAnsiTheme="minorEastAsia" w:eastAsiaTheme="minorEastAsia" w:cstheme="minorEastAsia"/>
          <w:kern w:val="0"/>
          <w:sz w:val="24"/>
        </w:rPr>
        <w:t>2.2.2.2</w: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的要求。</w:t>
      </w:r>
    </w:p>
    <w:p>
      <w:pPr>
        <w:numPr>
          <w:ilvl w:val="1"/>
          <w:numId w:val="20"/>
        </w:numPr>
        <w:spacing w:line="560" w:lineRule="exact"/>
        <w:ind w:left="0" w:firstLine="0"/>
        <w:outlineLvl w:val="2"/>
        <w:rPr>
          <w:rFonts w:hint="eastAsia" w:asciiTheme="minorEastAsia" w:hAnsiTheme="minorEastAsia" w:eastAsiaTheme="minorEastAsia" w:cstheme="minorEastAsia"/>
          <w:sz w:val="24"/>
        </w:rPr>
      </w:pPr>
      <w:bookmarkStart w:id="134" w:name="_Ref449388545"/>
      <w:bookmarkStart w:id="135" w:name="_Toc112680090"/>
      <w:r>
        <w:rPr>
          <w:rFonts w:hint="eastAsia" w:asciiTheme="minorEastAsia" w:hAnsiTheme="minorEastAsia" w:eastAsiaTheme="minorEastAsia" w:cstheme="minorEastAsia"/>
          <w:sz w:val="24"/>
        </w:rPr>
        <w:t>安全和性能标准</w:t>
      </w:r>
      <w:bookmarkEnd w:id="134"/>
      <w:bookmarkEnd w:id="135"/>
    </w:p>
    <w:p>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REF _Ref449388567 \r \h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项对应的方法，全面执行标准的检验方法，应符合</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REF _Ref449388567 \r \h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的要求。</w:t>
      </w:r>
    </w:p>
    <w:p>
      <w:pPr>
        <w:numPr>
          <w:ilvl w:val="0"/>
          <w:numId w:val="20"/>
        </w:numPr>
        <w:spacing w:line="560" w:lineRule="exact"/>
        <w:ind w:left="0" w:firstLine="0"/>
        <w:outlineLvl w:val="1"/>
        <w:rPr>
          <w:rFonts w:hint="eastAsia" w:asciiTheme="minorEastAsia" w:hAnsiTheme="minorEastAsia" w:eastAsiaTheme="minorEastAsia" w:cstheme="minorEastAsia"/>
          <w:b/>
          <w:bCs/>
          <w:kern w:val="0"/>
          <w:sz w:val="24"/>
        </w:rPr>
      </w:pPr>
      <w:bookmarkStart w:id="136" w:name="_Toc112680091"/>
      <w:r>
        <w:rPr>
          <w:rFonts w:hint="eastAsia" w:asciiTheme="minorEastAsia" w:hAnsiTheme="minorEastAsia" w:eastAsiaTheme="minorEastAsia" w:cstheme="minorEastAsia"/>
          <w:b/>
          <w:bCs/>
          <w:kern w:val="0"/>
          <w:sz w:val="24"/>
        </w:rPr>
        <w:t>术语（如适用）</w:t>
      </w:r>
      <w:bookmarkEnd w:id="136"/>
    </w:p>
    <w:p>
      <w:pPr>
        <w:numPr>
          <w:ilvl w:val="1"/>
          <w:numId w:val="20"/>
        </w:num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numPr>
          <w:ilvl w:val="2"/>
          <w:numId w:val="20"/>
        </w:num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pacing w:line="560" w:lineRule="exac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p>
      <w:pPr>
        <w:spacing w:line="560" w:lineRule="exac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（分页）</w:t>
      </w:r>
    </w:p>
    <w:p>
      <w:pPr>
        <w:spacing w:line="560" w:lineRule="exact"/>
        <w:outlineLvl w:val="1"/>
        <w:rPr>
          <w:rFonts w:hint="eastAsia" w:asciiTheme="minorEastAsia" w:hAnsiTheme="minorEastAsia" w:eastAsiaTheme="minorEastAsia" w:cstheme="minorEastAsia"/>
          <w:b/>
          <w:bCs/>
          <w:kern w:val="0"/>
          <w:sz w:val="24"/>
        </w:rPr>
      </w:pPr>
      <w:bookmarkStart w:id="137" w:name="_Toc112680092"/>
      <w:r>
        <w:rPr>
          <w:rFonts w:hint="eastAsia" w:asciiTheme="minorEastAsia" w:hAnsiTheme="minorEastAsia" w:eastAsiaTheme="minorEastAsia" w:cstheme="minorEastAsia"/>
          <w:b/>
          <w:bCs/>
          <w:kern w:val="0"/>
          <w:sz w:val="24"/>
        </w:rPr>
        <w:t>附录A 产品主要安全特征</w:t>
      </w:r>
      <w:bookmarkEnd w:id="137"/>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按防电击类型分类</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按防电击的程度分类</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按对进液的防护程度分类</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按在与空气混合的易燃麻醉气或与氧或氧化亚氮混合的易燃麻醉气情况下使用时的安全程度分类</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按运行模式分类</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设备的额定电压和频率</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设备的输入功率</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设备是否具有对除颤放电效应防护的应用部分</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设备是否具有信号输出或输入部分</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永久性安装设备或非永久性安装设备</w:t>
      </w:r>
      <w:r>
        <w:rPr>
          <w:rFonts w:hint="eastAsia" w:asciiTheme="minorEastAsia" w:hAnsiTheme="minorEastAsia" w:eastAsiaTheme="minorEastAsia" w:cstheme="minorEastAsia"/>
          <w:sz w:val="24"/>
        </w:rPr>
        <w:t>：</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电气绝缘图</w:t>
      </w:r>
      <w:r>
        <w:rPr>
          <w:rFonts w:hint="eastAsia" w:asciiTheme="minorEastAsia" w:hAnsiTheme="minorEastAsia" w:eastAsiaTheme="minorEastAsia" w:cstheme="minorEastAsia"/>
          <w:sz w:val="24"/>
        </w:rPr>
        <w:t>：</w:t>
      </w:r>
    </w:p>
    <w:p>
      <w:pPr>
        <w:spacing w:line="560" w:lineRule="exact"/>
        <w:ind w:left="420" w:leftChars="2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申请人应在电气绝缘图中标明各绝缘路径。</w:t>
      </w:r>
    </w:p>
    <w:p>
      <w:pPr>
        <w:numPr>
          <w:ilvl w:val="0"/>
          <w:numId w:val="21"/>
        </w:numPr>
        <w:spacing w:line="560" w:lineRule="exact"/>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电气绝缘图表格：</w:t>
      </w:r>
    </w:p>
    <w:p>
      <w:pPr>
        <w:spacing w:line="560" w:lineRule="exact"/>
        <w:ind w:left="420" w:leftChars="2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申请人应在绝缘图表格中明确各绝缘路径的名称、绝缘类型、基准电压、试验电压、电气间隙和爬电距离。</w:t>
      </w:r>
    </w:p>
    <w:sectPr>
      <w:headerReference r:id="rId3" w:type="default"/>
      <w:footerReference r:id="rId4" w:type="default"/>
      <w:footerReference r:id="rId5" w:type="even"/>
      <w:pgSz w:w="11850" w:h="16783"/>
      <w:pgMar w:top="1758" w:right="1531" w:bottom="1588" w:left="1531" w:header="851" w:footer="850"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400439"/>
      <w:docPartObj>
        <w:docPartGallery w:val="AutoText"/>
      </w:docPartObj>
    </w:sdtPr>
    <w:sdtContent>
      <w:p>
        <w:pPr>
          <w:pStyle w:val="13"/>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 xml:space="preserve"> </w:t>
        </w:r>
      </w:p>
    </w:sdtContent>
  </w:sdt>
  <w:p>
    <w:pPr>
      <w:pStyle w:val="13"/>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67511"/>
    <w:multiLevelType w:val="multilevel"/>
    <w:tmpl w:val="15867511"/>
    <w:lvl w:ilvl="0" w:tentative="0">
      <w:start w:val="1"/>
      <w:numFmt w:val="decimal"/>
      <w:suff w:val="space"/>
      <w:lvlText w:val="A%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5A76002"/>
    <w:multiLevelType w:val="multilevel"/>
    <w:tmpl w:val="15A7600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D60DF9"/>
    <w:multiLevelType w:val="multilevel"/>
    <w:tmpl w:val="26D60DF9"/>
    <w:lvl w:ilvl="0" w:tentative="0">
      <w:start w:val="1"/>
      <w:numFmt w:val="decimal"/>
      <w:suff w:val="nothing"/>
      <w:lvlText w:val="%1."/>
      <w:lvlJc w:val="left"/>
      <w:pPr>
        <w:ind w:left="975" w:hanging="975"/>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490C1C"/>
    <w:multiLevelType w:val="multilevel"/>
    <w:tmpl w:val="2D490C1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AD0C8F"/>
    <w:multiLevelType w:val="multilevel"/>
    <w:tmpl w:val="2DAD0C8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BE0E6D"/>
    <w:multiLevelType w:val="multilevel"/>
    <w:tmpl w:val="31BE0E6D"/>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1D31AA2"/>
    <w:multiLevelType w:val="multilevel"/>
    <w:tmpl w:val="31D31AA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4DE5BF0"/>
    <w:multiLevelType w:val="multilevel"/>
    <w:tmpl w:val="34DE5BF0"/>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62A3501"/>
    <w:multiLevelType w:val="multilevel"/>
    <w:tmpl w:val="362A3501"/>
    <w:lvl w:ilvl="0" w:tentative="0">
      <w:start w:val="4"/>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C930565"/>
    <w:multiLevelType w:val="multilevel"/>
    <w:tmpl w:val="3C930565"/>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A638BF"/>
    <w:multiLevelType w:val="multilevel"/>
    <w:tmpl w:val="3DA638BF"/>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3E753EB7"/>
    <w:multiLevelType w:val="multilevel"/>
    <w:tmpl w:val="3E753EB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A414E7"/>
    <w:multiLevelType w:val="multilevel"/>
    <w:tmpl w:val="47A414E7"/>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15F74E6"/>
    <w:multiLevelType w:val="multilevel"/>
    <w:tmpl w:val="515F74E6"/>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530E0FDD"/>
    <w:multiLevelType w:val="multilevel"/>
    <w:tmpl w:val="530E0FDD"/>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DC5A1B"/>
    <w:multiLevelType w:val="multilevel"/>
    <w:tmpl w:val="53DC5A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C39494C"/>
    <w:multiLevelType w:val="multilevel"/>
    <w:tmpl w:val="5C39494C"/>
    <w:lvl w:ilvl="0" w:tentative="0">
      <w:start w:val="1"/>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7316709A"/>
    <w:multiLevelType w:val="multilevel"/>
    <w:tmpl w:val="7316709A"/>
    <w:lvl w:ilvl="0" w:tentative="0">
      <w:start w:val="6"/>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75E35C66"/>
    <w:multiLevelType w:val="multilevel"/>
    <w:tmpl w:val="75E35C66"/>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7B925682"/>
    <w:multiLevelType w:val="multilevel"/>
    <w:tmpl w:val="7B925682"/>
    <w:lvl w:ilvl="0" w:tentative="0">
      <w:start w:val="3"/>
      <w:numFmt w:val="decimal"/>
      <w:lvlText w:val="%1."/>
      <w:lvlJc w:val="left"/>
      <w:pPr>
        <w:ind w:left="425" w:hanging="425"/>
      </w:pPr>
      <w:rPr>
        <w:rFonts w:hint="eastAsia"/>
      </w:rPr>
    </w:lvl>
    <w:lvl w:ilvl="1" w:tentative="0">
      <w:start w:val="3"/>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7F0C50B9"/>
    <w:multiLevelType w:val="multilevel"/>
    <w:tmpl w:val="7F0C50B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space"/>
      <w:lvlText w:val="%1.%2.%3"/>
      <w:lvlJc w:val="left"/>
      <w:pPr>
        <w:ind w:left="1418" w:hanging="567"/>
      </w:pPr>
      <w:rPr>
        <w:rFonts w:hint="default" w:ascii="Times New Roman" w:hAnsi="Times New Roman" w:cs="Times New Roman"/>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4"/>
  </w:num>
  <w:num w:numId="3">
    <w:abstractNumId w:val="18"/>
  </w:num>
  <w:num w:numId="4">
    <w:abstractNumId w:val="8"/>
  </w:num>
  <w:num w:numId="5">
    <w:abstractNumId w:val="13"/>
  </w:num>
  <w:num w:numId="6">
    <w:abstractNumId w:val="20"/>
  </w:num>
  <w:num w:numId="7">
    <w:abstractNumId w:val="5"/>
  </w:num>
  <w:num w:numId="8">
    <w:abstractNumId w:val="19"/>
  </w:num>
  <w:num w:numId="9">
    <w:abstractNumId w:val="17"/>
  </w:num>
  <w:num w:numId="10">
    <w:abstractNumId w:val="6"/>
  </w:num>
  <w:num w:numId="11">
    <w:abstractNumId w:val="7"/>
  </w:num>
  <w:num w:numId="12">
    <w:abstractNumId w:val="10"/>
  </w:num>
  <w:num w:numId="13">
    <w:abstractNumId w:val="9"/>
  </w:num>
  <w:num w:numId="14">
    <w:abstractNumId w:val="11"/>
  </w:num>
  <w:num w:numId="15">
    <w:abstractNumId w:val="3"/>
  </w:num>
  <w:num w:numId="16">
    <w:abstractNumId w:val="12"/>
  </w:num>
  <w:num w:numId="17">
    <w:abstractNumId w:val="14"/>
  </w:num>
  <w:num w:numId="18">
    <w:abstractNumId w:val="2"/>
  </w:num>
  <w:num w:numId="19">
    <w:abstractNumId w:val="1"/>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jMjZlNzJkMDBiMmQ3YzcxNDJjNGIxN2Q3YTc0ZTQifQ=="/>
  </w:docVars>
  <w:rsids>
    <w:rsidRoot w:val="00DC40FA"/>
    <w:rsid w:val="00000069"/>
    <w:rsid w:val="0000008C"/>
    <w:rsid w:val="000005C6"/>
    <w:rsid w:val="00000E15"/>
    <w:rsid w:val="00000FDE"/>
    <w:rsid w:val="000010FB"/>
    <w:rsid w:val="000011E5"/>
    <w:rsid w:val="00001384"/>
    <w:rsid w:val="000014BA"/>
    <w:rsid w:val="000016D4"/>
    <w:rsid w:val="00001ADA"/>
    <w:rsid w:val="00001AF2"/>
    <w:rsid w:val="00001DB3"/>
    <w:rsid w:val="00002069"/>
    <w:rsid w:val="0000214E"/>
    <w:rsid w:val="000027FE"/>
    <w:rsid w:val="00002C87"/>
    <w:rsid w:val="00003107"/>
    <w:rsid w:val="000031AC"/>
    <w:rsid w:val="00003299"/>
    <w:rsid w:val="00003438"/>
    <w:rsid w:val="00003680"/>
    <w:rsid w:val="00003C46"/>
    <w:rsid w:val="00003D57"/>
    <w:rsid w:val="00004899"/>
    <w:rsid w:val="00004D83"/>
    <w:rsid w:val="00004D88"/>
    <w:rsid w:val="00004E8F"/>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97F"/>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48"/>
    <w:rsid w:val="000208B6"/>
    <w:rsid w:val="00020A5A"/>
    <w:rsid w:val="00020ABC"/>
    <w:rsid w:val="00020B3A"/>
    <w:rsid w:val="00020C4E"/>
    <w:rsid w:val="00020D2A"/>
    <w:rsid w:val="00020DCF"/>
    <w:rsid w:val="0002103A"/>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133"/>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A7"/>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3D48"/>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7D4"/>
    <w:rsid w:val="00051A26"/>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6D29"/>
    <w:rsid w:val="00057502"/>
    <w:rsid w:val="00057FE7"/>
    <w:rsid w:val="0006076F"/>
    <w:rsid w:val="00060A3B"/>
    <w:rsid w:val="00060F12"/>
    <w:rsid w:val="000610F5"/>
    <w:rsid w:val="00061167"/>
    <w:rsid w:val="000611DC"/>
    <w:rsid w:val="0006188A"/>
    <w:rsid w:val="0006197B"/>
    <w:rsid w:val="000619DA"/>
    <w:rsid w:val="00061BE5"/>
    <w:rsid w:val="00061C59"/>
    <w:rsid w:val="00061F3C"/>
    <w:rsid w:val="00061F61"/>
    <w:rsid w:val="000624B6"/>
    <w:rsid w:val="0006266C"/>
    <w:rsid w:val="000628E8"/>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904"/>
    <w:rsid w:val="0006591D"/>
    <w:rsid w:val="00065A85"/>
    <w:rsid w:val="00065AAC"/>
    <w:rsid w:val="00065AEF"/>
    <w:rsid w:val="00066AAC"/>
    <w:rsid w:val="00066D79"/>
    <w:rsid w:val="00066DD6"/>
    <w:rsid w:val="0006722C"/>
    <w:rsid w:val="0006750E"/>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123D"/>
    <w:rsid w:val="000714A0"/>
    <w:rsid w:val="000721E7"/>
    <w:rsid w:val="00072BE2"/>
    <w:rsid w:val="00072E8F"/>
    <w:rsid w:val="00072ECE"/>
    <w:rsid w:val="00073808"/>
    <w:rsid w:val="00073EC4"/>
    <w:rsid w:val="0007402A"/>
    <w:rsid w:val="0007414D"/>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9C6"/>
    <w:rsid w:val="00077A20"/>
    <w:rsid w:val="00077B24"/>
    <w:rsid w:val="00077D85"/>
    <w:rsid w:val="00077F3A"/>
    <w:rsid w:val="00077FFB"/>
    <w:rsid w:val="0008063B"/>
    <w:rsid w:val="000812C4"/>
    <w:rsid w:val="000812CF"/>
    <w:rsid w:val="000813E4"/>
    <w:rsid w:val="000814A1"/>
    <w:rsid w:val="000815E5"/>
    <w:rsid w:val="000816A2"/>
    <w:rsid w:val="00081783"/>
    <w:rsid w:val="0008185B"/>
    <w:rsid w:val="00081954"/>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BBF"/>
    <w:rsid w:val="00087D18"/>
    <w:rsid w:val="00087EF5"/>
    <w:rsid w:val="00090095"/>
    <w:rsid w:val="00090223"/>
    <w:rsid w:val="000903B4"/>
    <w:rsid w:val="00090455"/>
    <w:rsid w:val="00090819"/>
    <w:rsid w:val="0009092A"/>
    <w:rsid w:val="00090D0E"/>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48"/>
    <w:rsid w:val="00093FDD"/>
    <w:rsid w:val="00094778"/>
    <w:rsid w:val="00094A08"/>
    <w:rsid w:val="00094A75"/>
    <w:rsid w:val="00094D01"/>
    <w:rsid w:val="00094F21"/>
    <w:rsid w:val="0009514B"/>
    <w:rsid w:val="00095282"/>
    <w:rsid w:val="000952AF"/>
    <w:rsid w:val="00095D8B"/>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952"/>
    <w:rsid w:val="000A0DBD"/>
    <w:rsid w:val="000A11B8"/>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47"/>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70C5"/>
    <w:rsid w:val="000C711B"/>
    <w:rsid w:val="000C7177"/>
    <w:rsid w:val="000C72C1"/>
    <w:rsid w:val="000C74F1"/>
    <w:rsid w:val="000C7768"/>
    <w:rsid w:val="000C779C"/>
    <w:rsid w:val="000C77DE"/>
    <w:rsid w:val="000C77F0"/>
    <w:rsid w:val="000C78FF"/>
    <w:rsid w:val="000C7EA6"/>
    <w:rsid w:val="000D0192"/>
    <w:rsid w:val="000D0899"/>
    <w:rsid w:val="000D0A4A"/>
    <w:rsid w:val="000D118C"/>
    <w:rsid w:val="000D12D9"/>
    <w:rsid w:val="000D1B5B"/>
    <w:rsid w:val="000D1CB7"/>
    <w:rsid w:val="000D1E46"/>
    <w:rsid w:val="000D1F58"/>
    <w:rsid w:val="000D21CF"/>
    <w:rsid w:val="000D2228"/>
    <w:rsid w:val="000D28A2"/>
    <w:rsid w:val="000D2B9B"/>
    <w:rsid w:val="000D2F95"/>
    <w:rsid w:val="000D3020"/>
    <w:rsid w:val="000D3134"/>
    <w:rsid w:val="000D323E"/>
    <w:rsid w:val="000D347F"/>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D7708"/>
    <w:rsid w:val="000E0072"/>
    <w:rsid w:val="000E0213"/>
    <w:rsid w:val="000E0264"/>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BC3"/>
    <w:rsid w:val="00100DEF"/>
    <w:rsid w:val="00100E23"/>
    <w:rsid w:val="00101128"/>
    <w:rsid w:val="001013C0"/>
    <w:rsid w:val="001015B4"/>
    <w:rsid w:val="00101861"/>
    <w:rsid w:val="00101967"/>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809"/>
    <w:rsid w:val="00105B86"/>
    <w:rsid w:val="00105D90"/>
    <w:rsid w:val="00105E56"/>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3165"/>
    <w:rsid w:val="00113442"/>
    <w:rsid w:val="00113531"/>
    <w:rsid w:val="00113599"/>
    <w:rsid w:val="00113611"/>
    <w:rsid w:val="001138EB"/>
    <w:rsid w:val="00113AC6"/>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8E4"/>
    <w:rsid w:val="001159AE"/>
    <w:rsid w:val="00115C04"/>
    <w:rsid w:val="00115CB2"/>
    <w:rsid w:val="00115CF2"/>
    <w:rsid w:val="001162CD"/>
    <w:rsid w:val="00116393"/>
    <w:rsid w:val="001168C1"/>
    <w:rsid w:val="001168DF"/>
    <w:rsid w:val="001172A7"/>
    <w:rsid w:val="001173A9"/>
    <w:rsid w:val="0011795D"/>
    <w:rsid w:val="001179ED"/>
    <w:rsid w:val="00117FA7"/>
    <w:rsid w:val="0012096D"/>
    <w:rsid w:val="00120AAD"/>
    <w:rsid w:val="0012105E"/>
    <w:rsid w:val="001210B4"/>
    <w:rsid w:val="00121414"/>
    <w:rsid w:val="0012186F"/>
    <w:rsid w:val="00121983"/>
    <w:rsid w:val="00121ACE"/>
    <w:rsid w:val="00121B03"/>
    <w:rsid w:val="00121BB6"/>
    <w:rsid w:val="00121D46"/>
    <w:rsid w:val="001221BB"/>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B16"/>
    <w:rsid w:val="00134B3F"/>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345"/>
    <w:rsid w:val="0014545D"/>
    <w:rsid w:val="00145477"/>
    <w:rsid w:val="0014561C"/>
    <w:rsid w:val="001457F2"/>
    <w:rsid w:val="00145867"/>
    <w:rsid w:val="001459ED"/>
    <w:rsid w:val="00146089"/>
    <w:rsid w:val="00146857"/>
    <w:rsid w:val="00146928"/>
    <w:rsid w:val="00146B65"/>
    <w:rsid w:val="00146C63"/>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29C0"/>
    <w:rsid w:val="00152AA7"/>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1F"/>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C2D"/>
    <w:rsid w:val="00163F63"/>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5E30"/>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43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BCD"/>
    <w:rsid w:val="00183CB2"/>
    <w:rsid w:val="00183EF9"/>
    <w:rsid w:val="00184082"/>
    <w:rsid w:val="0018408F"/>
    <w:rsid w:val="001843CF"/>
    <w:rsid w:val="001844DE"/>
    <w:rsid w:val="00184821"/>
    <w:rsid w:val="00184A8A"/>
    <w:rsid w:val="00184A92"/>
    <w:rsid w:val="00184C60"/>
    <w:rsid w:val="001851ED"/>
    <w:rsid w:val="001853EA"/>
    <w:rsid w:val="00185D81"/>
    <w:rsid w:val="00185FA9"/>
    <w:rsid w:val="00185FFE"/>
    <w:rsid w:val="00186858"/>
    <w:rsid w:val="00186A9A"/>
    <w:rsid w:val="00186BB7"/>
    <w:rsid w:val="00186C12"/>
    <w:rsid w:val="00186D34"/>
    <w:rsid w:val="00186E54"/>
    <w:rsid w:val="001877D9"/>
    <w:rsid w:val="00187830"/>
    <w:rsid w:val="00187B80"/>
    <w:rsid w:val="00187CDF"/>
    <w:rsid w:val="00187F14"/>
    <w:rsid w:val="001901AE"/>
    <w:rsid w:val="001902BD"/>
    <w:rsid w:val="00190379"/>
    <w:rsid w:val="001906D5"/>
    <w:rsid w:val="0019072A"/>
    <w:rsid w:val="001909EF"/>
    <w:rsid w:val="00190B31"/>
    <w:rsid w:val="00190EE1"/>
    <w:rsid w:val="00191211"/>
    <w:rsid w:val="001912BC"/>
    <w:rsid w:val="00191419"/>
    <w:rsid w:val="00191969"/>
    <w:rsid w:val="00191994"/>
    <w:rsid w:val="00191A58"/>
    <w:rsid w:val="00191E70"/>
    <w:rsid w:val="00191FFC"/>
    <w:rsid w:val="00192242"/>
    <w:rsid w:val="00192651"/>
    <w:rsid w:val="0019269E"/>
    <w:rsid w:val="001927B6"/>
    <w:rsid w:val="00192848"/>
    <w:rsid w:val="00192866"/>
    <w:rsid w:val="00192B0F"/>
    <w:rsid w:val="00192E7D"/>
    <w:rsid w:val="00192F7A"/>
    <w:rsid w:val="00192FA4"/>
    <w:rsid w:val="001934E9"/>
    <w:rsid w:val="00193626"/>
    <w:rsid w:val="00193FE8"/>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B35"/>
    <w:rsid w:val="00195DE8"/>
    <w:rsid w:val="00195F03"/>
    <w:rsid w:val="00195F3A"/>
    <w:rsid w:val="00196020"/>
    <w:rsid w:val="00196585"/>
    <w:rsid w:val="001968E3"/>
    <w:rsid w:val="00196CA2"/>
    <w:rsid w:val="00196D00"/>
    <w:rsid w:val="00196D99"/>
    <w:rsid w:val="00197334"/>
    <w:rsid w:val="001A0255"/>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3DE"/>
    <w:rsid w:val="001A2745"/>
    <w:rsid w:val="001A289F"/>
    <w:rsid w:val="001A29C2"/>
    <w:rsid w:val="001A2C7B"/>
    <w:rsid w:val="001A2DE2"/>
    <w:rsid w:val="001A3928"/>
    <w:rsid w:val="001A3FFF"/>
    <w:rsid w:val="001A4067"/>
    <w:rsid w:val="001A40E6"/>
    <w:rsid w:val="001A41E6"/>
    <w:rsid w:val="001A424B"/>
    <w:rsid w:val="001A4294"/>
    <w:rsid w:val="001A45D1"/>
    <w:rsid w:val="001A484C"/>
    <w:rsid w:val="001A4A29"/>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5BF"/>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6C2"/>
    <w:rsid w:val="001C170C"/>
    <w:rsid w:val="001C18A8"/>
    <w:rsid w:val="001C192F"/>
    <w:rsid w:val="001C1A5E"/>
    <w:rsid w:val="001C1C82"/>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B8"/>
    <w:rsid w:val="001C6682"/>
    <w:rsid w:val="001C7509"/>
    <w:rsid w:val="001C75B9"/>
    <w:rsid w:val="001C7A55"/>
    <w:rsid w:val="001C7FAA"/>
    <w:rsid w:val="001C7FF0"/>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8F7"/>
    <w:rsid w:val="001D1969"/>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5EDB"/>
    <w:rsid w:val="001D5FDB"/>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0D87"/>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EFC"/>
    <w:rsid w:val="001F1167"/>
    <w:rsid w:val="001F11BC"/>
    <w:rsid w:val="001F11DB"/>
    <w:rsid w:val="001F1308"/>
    <w:rsid w:val="001F140A"/>
    <w:rsid w:val="001F142D"/>
    <w:rsid w:val="001F1445"/>
    <w:rsid w:val="001F1484"/>
    <w:rsid w:val="001F14B7"/>
    <w:rsid w:val="001F14BD"/>
    <w:rsid w:val="001F16AA"/>
    <w:rsid w:val="001F17C7"/>
    <w:rsid w:val="001F17E3"/>
    <w:rsid w:val="001F18C3"/>
    <w:rsid w:val="001F1B96"/>
    <w:rsid w:val="001F1C81"/>
    <w:rsid w:val="001F1D6A"/>
    <w:rsid w:val="001F1F4A"/>
    <w:rsid w:val="001F202B"/>
    <w:rsid w:val="001F234C"/>
    <w:rsid w:val="001F27D6"/>
    <w:rsid w:val="001F30A3"/>
    <w:rsid w:val="001F3258"/>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086"/>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1ED"/>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994"/>
    <w:rsid w:val="00206E06"/>
    <w:rsid w:val="00206EA3"/>
    <w:rsid w:val="00206EFD"/>
    <w:rsid w:val="002072BB"/>
    <w:rsid w:val="0020752E"/>
    <w:rsid w:val="0020755F"/>
    <w:rsid w:val="002075C4"/>
    <w:rsid w:val="002076F4"/>
    <w:rsid w:val="00207D04"/>
    <w:rsid w:val="00207D31"/>
    <w:rsid w:val="00210113"/>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18"/>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2C"/>
    <w:rsid w:val="00223C85"/>
    <w:rsid w:val="00223CCC"/>
    <w:rsid w:val="00223DB3"/>
    <w:rsid w:val="002240CF"/>
    <w:rsid w:val="002248BA"/>
    <w:rsid w:val="00224951"/>
    <w:rsid w:val="00224A7C"/>
    <w:rsid w:val="00224DB8"/>
    <w:rsid w:val="0022540E"/>
    <w:rsid w:val="002258F6"/>
    <w:rsid w:val="0022596E"/>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86D"/>
    <w:rsid w:val="002378A3"/>
    <w:rsid w:val="002379D2"/>
    <w:rsid w:val="00237A6F"/>
    <w:rsid w:val="00237E91"/>
    <w:rsid w:val="00237EBD"/>
    <w:rsid w:val="00240490"/>
    <w:rsid w:val="00240A59"/>
    <w:rsid w:val="0024114D"/>
    <w:rsid w:val="0024132B"/>
    <w:rsid w:val="0024154D"/>
    <w:rsid w:val="00241717"/>
    <w:rsid w:val="00242759"/>
    <w:rsid w:val="00242A3B"/>
    <w:rsid w:val="00242A5C"/>
    <w:rsid w:val="00242B1A"/>
    <w:rsid w:val="00242D3E"/>
    <w:rsid w:val="002432B7"/>
    <w:rsid w:val="00243333"/>
    <w:rsid w:val="0024382F"/>
    <w:rsid w:val="00243AEC"/>
    <w:rsid w:val="00243C74"/>
    <w:rsid w:val="00243D9F"/>
    <w:rsid w:val="00243EBE"/>
    <w:rsid w:val="00244069"/>
    <w:rsid w:val="0024422E"/>
    <w:rsid w:val="0024471F"/>
    <w:rsid w:val="002448F7"/>
    <w:rsid w:val="002449EC"/>
    <w:rsid w:val="00244DF8"/>
    <w:rsid w:val="00244FFC"/>
    <w:rsid w:val="002453DB"/>
    <w:rsid w:val="002456B1"/>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243"/>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98A"/>
    <w:rsid w:val="00253D88"/>
    <w:rsid w:val="00253DDA"/>
    <w:rsid w:val="0025416F"/>
    <w:rsid w:val="002541B1"/>
    <w:rsid w:val="00254247"/>
    <w:rsid w:val="00254C68"/>
    <w:rsid w:val="00254CBF"/>
    <w:rsid w:val="0025516C"/>
    <w:rsid w:val="002551CF"/>
    <w:rsid w:val="00255261"/>
    <w:rsid w:val="002553A4"/>
    <w:rsid w:val="002553F3"/>
    <w:rsid w:val="002554DC"/>
    <w:rsid w:val="00255511"/>
    <w:rsid w:val="00255571"/>
    <w:rsid w:val="00256058"/>
    <w:rsid w:val="00256149"/>
    <w:rsid w:val="002562DC"/>
    <w:rsid w:val="00256748"/>
    <w:rsid w:val="00256784"/>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E6"/>
    <w:rsid w:val="00271700"/>
    <w:rsid w:val="00271926"/>
    <w:rsid w:val="00271AA9"/>
    <w:rsid w:val="00271B3D"/>
    <w:rsid w:val="00271D96"/>
    <w:rsid w:val="00271F74"/>
    <w:rsid w:val="002722F2"/>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A4C"/>
    <w:rsid w:val="00275D7D"/>
    <w:rsid w:val="00275FF2"/>
    <w:rsid w:val="00276258"/>
    <w:rsid w:val="00276C2A"/>
    <w:rsid w:val="00276D8A"/>
    <w:rsid w:val="00277246"/>
    <w:rsid w:val="00277306"/>
    <w:rsid w:val="002779AD"/>
    <w:rsid w:val="00277FB2"/>
    <w:rsid w:val="002802DA"/>
    <w:rsid w:val="002804B4"/>
    <w:rsid w:val="00280663"/>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892"/>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C6E"/>
    <w:rsid w:val="00292E20"/>
    <w:rsid w:val="0029302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134"/>
    <w:rsid w:val="002A1279"/>
    <w:rsid w:val="002A144A"/>
    <w:rsid w:val="002A1508"/>
    <w:rsid w:val="002A207E"/>
    <w:rsid w:val="002A2603"/>
    <w:rsid w:val="002A27AA"/>
    <w:rsid w:val="002A28C6"/>
    <w:rsid w:val="002A2988"/>
    <w:rsid w:val="002A29DB"/>
    <w:rsid w:val="002A2CE7"/>
    <w:rsid w:val="002A31B5"/>
    <w:rsid w:val="002A3447"/>
    <w:rsid w:val="002A3999"/>
    <w:rsid w:val="002A3A85"/>
    <w:rsid w:val="002A3B22"/>
    <w:rsid w:val="002A3CD9"/>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6D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5E"/>
    <w:rsid w:val="002B3AC8"/>
    <w:rsid w:val="002B3D62"/>
    <w:rsid w:val="002B3D86"/>
    <w:rsid w:val="002B3F13"/>
    <w:rsid w:val="002B4145"/>
    <w:rsid w:val="002B4529"/>
    <w:rsid w:val="002B46DF"/>
    <w:rsid w:val="002B48D2"/>
    <w:rsid w:val="002B4D3D"/>
    <w:rsid w:val="002B564D"/>
    <w:rsid w:val="002B56CE"/>
    <w:rsid w:val="002B5817"/>
    <w:rsid w:val="002B5D66"/>
    <w:rsid w:val="002B5D6E"/>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466"/>
    <w:rsid w:val="002C05C5"/>
    <w:rsid w:val="002C0671"/>
    <w:rsid w:val="002C0774"/>
    <w:rsid w:val="002C0D64"/>
    <w:rsid w:val="002C0E78"/>
    <w:rsid w:val="002C11F5"/>
    <w:rsid w:val="002C1D91"/>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359"/>
    <w:rsid w:val="002C7436"/>
    <w:rsid w:val="002C75D1"/>
    <w:rsid w:val="002C77FF"/>
    <w:rsid w:val="002C794A"/>
    <w:rsid w:val="002C7BCB"/>
    <w:rsid w:val="002D057B"/>
    <w:rsid w:val="002D08C4"/>
    <w:rsid w:val="002D0F82"/>
    <w:rsid w:val="002D1045"/>
    <w:rsid w:val="002D1351"/>
    <w:rsid w:val="002D1873"/>
    <w:rsid w:val="002D19F9"/>
    <w:rsid w:val="002D1AE1"/>
    <w:rsid w:val="002D1E4B"/>
    <w:rsid w:val="002D2092"/>
    <w:rsid w:val="002D21A3"/>
    <w:rsid w:val="002D23C5"/>
    <w:rsid w:val="002D2C10"/>
    <w:rsid w:val="002D30A0"/>
    <w:rsid w:val="002D3424"/>
    <w:rsid w:val="002D365A"/>
    <w:rsid w:val="002D3738"/>
    <w:rsid w:val="002D3AB7"/>
    <w:rsid w:val="002D3E93"/>
    <w:rsid w:val="002D3FA7"/>
    <w:rsid w:val="002D3FF9"/>
    <w:rsid w:val="002D4574"/>
    <w:rsid w:val="002D5043"/>
    <w:rsid w:val="002D5073"/>
    <w:rsid w:val="002D509D"/>
    <w:rsid w:val="002D52A3"/>
    <w:rsid w:val="002D53AF"/>
    <w:rsid w:val="002D596E"/>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0F0"/>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3F"/>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3E8C"/>
    <w:rsid w:val="002F403E"/>
    <w:rsid w:val="002F40D5"/>
    <w:rsid w:val="002F4524"/>
    <w:rsid w:val="002F45C1"/>
    <w:rsid w:val="002F47BF"/>
    <w:rsid w:val="002F4E33"/>
    <w:rsid w:val="002F4F2A"/>
    <w:rsid w:val="002F51B8"/>
    <w:rsid w:val="002F559C"/>
    <w:rsid w:val="002F575C"/>
    <w:rsid w:val="002F5D82"/>
    <w:rsid w:val="002F5F10"/>
    <w:rsid w:val="002F61AA"/>
    <w:rsid w:val="002F6530"/>
    <w:rsid w:val="002F65D7"/>
    <w:rsid w:val="002F66CE"/>
    <w:rsid w:val="002F694D"/>
    <w:rsid w:val="002F6A37"/>
    <w:rsid w:val="002F7133"/>
    <w:rsid w:val="002F7422"/>
    <w:rsid w:val="002F75C8"/>
    <w:rsid w:val="002F76CC"/>
    <w:rsid w:val="002F77E2"/>
    <w:rsid w:val="002F7C67"/>
    <w:rsid w:val="002F7C8A"/>
    <w:rsid w:val="002F7C91"/>
    <w:rsid w:val="0030033A"/>
    <w:rsid w:val="00300381"/>
    <w:rsid w:val="0030047C"/>
    <w:rsid w:val="003006C9"/>
    <w:rsid w:val="00300817"/>
    <w:rsid w:val="00300C8E"/>
    <w:rsid w:val="00300CA4"/>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7DA"/>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477"/>
    <w:rsid w:val="00310798"/>
    <w:rsid w:val="003109B2"/>
    <w:rsid w:val="00310B1D"/>
    <w:rsid w:val="00310E8F"/>
    <w:rsid w:val="0031102E"/>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53E"/>
    <w:rsid w:val="00315642"/>
    <w:rsid w:val="00315800"/>
    <w:rsid w:val="00315DDC"/>
    <w:rsid w:val="00315E2A"/>
    <w:rsid w:val="00316271"/>
    <w:rsid w:val="003168EB"/>
    <w:rsid w:val="00316FF8"/>
    <w:rsid w:val="0031742F"/>
    <w:rsid w:val="003176B2"/>
    <w:rsid w:val="003176DC"/>
    <w:rsid w:val="00317715"/>
    <w:rsid w:val="00320016"/>
    <w:rsid w:val="00320333"/>
    <w:rsid w:val="00320994"/>
    <w:rsid w:val="00320A17"/>
    <w:rsid w:val="00320BA1"/>
    <w:rsid w:val="00320F29"/>
    <w:rsid w:val="00321081"/>
    <w:rsid w:val="003213C2"/>
    <w:rsid w:val="0032146C"/>
    <w:rsid w:val="003216BB"/>
    <w:rsid w:val="00321707"/>
    <w:rsid w:val="00322133"/>
    <w:rsid w:val="003221CB"/>
    <w:rsid w:val="00322435"/>
    <w:rsid w:val="00322772"/>
    <w:rsid w:val="003227A4"/>
    <w:rsid w:val="00322E77"/>
    <w:rsid w:val="00322EA4"/>
    <w:rsid w:val="003235BF"/>
    <w:rsid w:val="00323665"/>
    <w:rsid w:val="00323887"/>
    <w:rsid w:val="00323B4C"/>
    <w:rsid w:val="00323C93"/>
    <w:rsid w:val="00323D5D"/>
    <w:rsid w:val="00323D6E"/>
    <w:rsid w:val="00323D88"/>
    <w:rsid w:val="0032401C"/>
    <w:rsid w:val="003244FB"/>
    <w:rsid w:val="00324CA0"/>
    <w:rsid w:val="00324DBF"/>
    <w:rsid w:val="00324F40"/>
    <w:rsid w:val="003251E1"/>
    <w:rsid w:val="0032531E"/>
    <w:rsid w:val="00325ADF"/>
    <w:rsid w:val="00325CAC"/>
    <w:rsid w:val="00325CC0"/>
    <w:rsid w:val="00325DE1"/>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40595"/>
    <w:rsid w:val="00340675"/>
    <w:rsid w:val="00340E12"/>
    <w:rsid w:val="00340FC1"/>
    <w:rsid w:val="003410C8"/>
    <w:rsid w:val="003411A5"/>
    <w:rsid w:val="003411F6"/>
    <w:rsid w:val="00341607"/>
    <w:rsid w:val="00341EA1"/>
    <w:rsid w:val="003424D6"/>
    <w:rsid w:val="00342535"/>
    <w:rsid w:val="00342582"/>
    <w:rsid w:val="0034259E"/>
    <w:rsid w:val="00342B6F"/>
    <w:rsid w:val="00342D08"/>
    <w:rsid w:val="00342DC9"/>
    <w:rsid w:val="00342F63"/>
    <w:rsid w:val="00343688"/>
    <w:rsid w:val="0034379A"/>
    <w:rsid w:val="00343833"/>
    <w:rsid w:val="00343B32"/>
    <w:rsid w:val="00344647"/>
    <w:rsid w:val="00344769"/>
    <w:rsid w:val="0034515B"/>
    <w:rsid w:val="003451E5"/>
    <w:rsid w:val="003457F1"/>
    <w:rsid w:val="003458E3"/>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1"/>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30F9"/>
    <w:rsid w:val="0035339C"/>
    <w:rsid w:val="0035375F"/>
    <w:rsid w:val="003539DE"/>
    <w:rsid w:val="00353BA1"/>
    <w:rsid w:val="00353F93"/>
    <w:rsid w:val="003540FC"/>
    <w:rsid w:val="00354296"/>
    <w:rsid w:val="00354DD8"/>
    <w:rsid w:val="0035505D"/>
    <w:rsid w:val="0035545A"/>
    <w:rsid w:val="00355670"/>
    <w:rsid w:val="00355891"/>
    <w:rsid w:val="00355B20"/>
    <w:rsid w:val="00355F16"/>
    <w:rsid w:val="00355FDC"/>
    <w:rsid w:val="0035600E"/>
    <w:rsid w:val="003563E0"/>
    <w:rsid w:val="00356583"/>
    <w:rsid w:val="00356B18"/>
    <w:rsid w:val="00356CA2"/>
    <w:rsid w:val="00356D0B"/>
    <w:rsid w:val="0035728B"/>
    <w:rsid w:val="003575C5"/>
    <w:rsid w:val="0035778E"/>
    <w:rsid w:val="003577B4"/>
    <w:rsid w:val="003577D7"/>
    <w:rsid w:val="0035786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4095"/>
    <w:rsid w:val="003641EC"/>
    <w:rsid w:val="0036437F"/>
    <w:rsid w:val="00364490"/>
    <w:rsid w:val="00364AB3"/>
    <w:rsid w:val="00364E3E"/>
    <w:rsid w:val="00364EDD"/>
    <w:rsid w:val="00364EEE"/>
    <w:rsid w:val="00364F43"/>
    <w:rsid w:val="00364FD4"/>
    <w:rsid w:val="0036506C"/>
    <w:rsid w:val="0036544B"/>
    <w:rsid w:val="00365494"/>
    <w:rsid w:val="003656E1"/>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0E8B"/>
    <w:rsid w:val="00371006"/>
    <w:rsid w:val="00371325"/>
    <w:rsid w:val="0037146B"/>
    <w:rsid w:val="00371551"/>
    <w:rsid w:val="00371647"/>
    <w:rsid w:val="003716D2"/>
    <w:rsid w:val="00371DDD"/>
    <w:rsid w:val="00371F79"/>
    <w:rsid w:val="003720D8"/>
    <w:rsid w:val="003721B5"/>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80"/>
    <w:rsid w:val="00381D90"/>
    <w:rsid w:val="00381F2A"/>
    <w:rsid w:val="003823CE"/>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7A"/>
    <w:rsid w:val="003965FF"/>
    <w:rsid w:val="00396B2B"/>
    <w:rsid w:val="00396CA8"/>
    <w:rsid w:val="003970E1"/>
    <w:rsid w:val="003971AA"/>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E7D"/>
    <w:rsid w:val="003A513E"/>
    <w:rsid w:val="003A5267"/>
    <w:rsid w:val="003A5346"/>
    <w:rsid w:val="003A5BAF"/>
    <w:rsid w:val="003A620B"/>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D25"/>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2A2"/>
    <w:rsid w:val="003B2A42"/>
    <w:rsid w:val="003B2C5B"/>
    <w:rsid w:val="003B2DD8"/>
    <w:rsid w:val="003B2E55"/>
    <w:rsid w:val="003B2EEB"/>
    <w:rsid w:val="003B31F0"/>
    <w:rsid w:val="003B356D"/>
    <w:rsid w:val="003B3570"/>
    <w:rsid w:val="003B365F"/>
    <w:rsid w:val="003B3953"/>
    <w:rsid w:val="003B398B"/>
    <w:rsid w:val="003B3A74"/>
    <w:rsid w:val="003B412E"/>
    <w:rsid w:val="003B41F5"/>
    <w:rsid w:val="003B44CF"/>
    <w:rsid w:val="003B4550"/>
    <w:rsid w:val="003B4C4A"/>
    <w:rsid w:val="003B4E53"/>
    <w:rsid w:val="003B5428"/>
    <w:rsid w:val="003B5725"/>
    <w:rsid w:val="003B58BF"/>
    <w:rsid w:val="003B5917"/>
    <w:rsid w:val="003B59A1"/>
    <w:rsid w:val="003B5A0C"/>
    <w:rsid w:val="003B5A9B"/>
    <w:rsid w:val="003B5F20"/>
    <w:rsid w:val="003B638E"/>
    <w:rsid w:val="003B63B7"/>
    <w:rsid w:val="003B6550"/>
    <w:rsid w:val="003B6F52"/>
    <w:rsid w:val="003B7520"/>
    <w:rsid w:val="003B7887"/>
    <w:rsid w:val="003B7A11"/>
    <w:rsid w:val="003B7AA9"/>
    <w:rsid w:val="003B7C84"/>
    <w:rsid w:val="003B7DEB"/>
    <w:rsid w:val="003B7F01"/>
    <w:rsid w:val="003B7F5C"/>
    <w:rsid w:val="003B7FAE"/>
    <w:rsid w:val="003C064C"/>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588"/>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86"/>
    <w:rsid w:val="003D6B71"/>
    <w:rsid w:val="003D6C05"/>
    <w:rsid w:val="003D6F5A"/>
    <w:rsid w:val="003D75B4"/>
    <w:rsid w:val="003D7641"/>
    <w:rsid w:val="003D7660"/>
    <w:rsid w:val="003D7B5A"/>
    <w:rsid w:val="003D7B9F"/>
    <w:rsid w:val="003D7CEE"/>
    <w:rsid w:val="003D7F28"/>
    <w:rsid w:val="003E0272"/>
    <w:rsid w:val="003E06CC"/>
    <w:rsid w:val="003E09FB"/>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376"/>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1063"/>
    <w:rsid w:val="003F12A9"/>
    <w:rsid w:val="003F158C"/>
    <w:rsid w:val="003F17C0"/>
    <w:rsid w:val="003F1A02"/>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3F"/>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708D"/>
    <w:rsid w:val="004074D6"/>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8A2"/>
    <w:rsid w:val="00413919"/>
    <w:rsid w:val="00413BEC"/>
    <w:rsid w:val="0041410F"/>
    <w:rsid w:val="00414189"/>
    <w:rsid w:val="004141E8"/>
    <w:rsid w:val="00414689"/>
    <w:rsid w:val="00414881"/>
    <w:rsid w:val="00414DF4"/>
    <w:rsid w:val="00414F24"/>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466"/>
    <w:rsid w:val="00426816"/>
    <w:rsid w:val="00426852"/>
    <w:rsid w:val="00426CD6"/>
    <w:rsid w:val="00427043"/>
    <w:rsid w:val="0042719C"/>
    <w:rsid w:val="004271EB"/>
    <w:rsid w:val="00427428"/>
    <w:rsid w:val="0042763B"/>
    <w:rsid w:val="00427669"/>
    <w:rsid w:val="0043022C"/>
    <w:rsid w:val="004304B7"/>
    <w:rsid w:val="00430BC8"/>
    <w:rsid w:val="00430F11"/>
    <w:rsid w:val="0043128B"/>
    <w:rsid w:val="00431400"/>
    <w:rsid w:val="00431684"/>
    <w:rsid w:val="00431B1E"/>
    <w:rsid w:val="00431B29"/>
    <w:rsid w:val="00431E3C"/>
    <w:rsid w:val="00432135"/>
    <w:rsid w:val="004323F1"/>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6F3"/>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66F"/>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4B8"/>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67EBC"/>
    <w:rsid w:val="0047021F"/>
    <w:rsid w:val="00470B35"/>
    <w:rsid w:val="00470DBB"/>
    <w:rsid w:val="00470DD7"/>
    <w:rsid w:val="00470E04"/>
    <w:rsid w:val="00470ECA"/>
    <w:rsid w:val="00471170"/>
    <w:rsid w:val="00471632"/>
    <w:rsid w:val="004717A2"/>
    <w:rsid w:val="004721B5"/>
    <w:rsid w:val="004722E8"/>
    <w:rsid w:val="0047277E"/>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23D"/>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D6"/>
    <w:rsid w:val="004816E3"/>
    <w:rsid w:val="00481A6E"/>
    <w:rsid w:val="00481CF8"/>
    <w:rsid w:val="00481D45"/>
    <w:rsid w:val="00481F7E"/>
    <w:rsid w:val="00481F8D"/>
    <w:rsid w:val="00482117"/>
    <w:rsid w:val="004823F6"/>
    <w:rsid w:val="0048248B"/>
    <w:rsid w:val="00482624"/>
    <w:rsid w:val="00482664"/>
    <w:rsid w:val="00482A1C"/>
    <w:rsid w:val="00482E83"/>
    <w:rsid w:val="0048350B"/>
    <w:rsid w:val="00483882"/>
    <w:rsid w:val="00483C47"/>
    <w:rsid w:val="0048420A"/>
    <w:rsid w:val="0048424F"/>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4CE"/>
    <w:rsid w:val="00494DAB"/>
    <w:rsid w:val="0049564F"/>
    <w:rsid w:val="00495BD7"/>
    <w:rsid w:val="00495C15"/>
    <w:rsid w:val="00495DC1"/>
    <w:rsid w:val="00495EEB"/>
    <w:rsid w:val="00495F94"/>
    <w:rsid w:val="0049607D"/>
    <w:rsid w:val="00496417"/>
    <w:rsid w:val="00496445"/>
    <w:rsid w:val="00496497"/>
    <w:rsid w:val="004965C6"/>
    <w:rsid w:val="004967F9"/>
    <w:rsid w:val="00496819"/>
    <w:rsid w:val="004969A6"/>
    <w:rsid w:val="004969BB"/>
    <w:rsid w:val="00496CE5"/>
    <w:rsid w:val="00496E62"/>
    <w:rsid w:val="00496F2D"/>
    <w:rsid w:val="004970FC"/>
    <w:rsid w:val="00497218"/>
    <w:rsid w:val="00497295"/>
    <w:rsid w:val="004976F1"/>
    <w:rsid w:val="00497739"/>
    <w:rsid w:val="0049780F"/>
    <w:rsid w:val="0049783D"/>
    <w:rsid w:val="00497B34"/>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995"/>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4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B51"/>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86"/>
    <w:rsid w:val="004C0378"/>
    <w:rsid w:val="004C07B1"/>
    <w:rsid w:val="004C0895"/>
    <w:rsid w:val="004C0A52"/>
    <w:rsid w:val="004C0B31"/>
    <w:rsid w:val="004C0E2F"/>
    <w:rsid w:val="004C11F2"/>
    <w:rsid w:val="004C157E"/>
    <w:rsid w:val="004C17B3"/>
    <w:rsid w:val="004C1818"/>
    <w:rsid w:val="004C190E"/>
    <w:rsid w:val="004C1912"/>
    <w:rsid w:val="004C1BBE"/>
    <w:rsid w:val="004C1C6B"/>
    <w:rsid w:val="004C27F9"/>
    <w:rsid w:val="004C2BB3"/>
    <w:rsid w:val="004C2E04"/>
    <w:rsid w:val="004C2E1D"/>
    <w:rsid w:val="004C2FFF"/>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5F2"/>
    <w:rsid w:val="004C772A"/>
    <w:rsid w:val="004C7C06"/>
    <w:rsid w:val="004C7C9A"/>
    <w:rsid w:val="004D0201"/>
    <w:rsid w:val="004D02C9"/>
    <w:rsid w:val="004D0D8B"/>
    <w:rsid w:val="004D106C"/>
    <w:rsid w:val="004D10BA"/>
    <w:rsid w:val="004D13BE"/>
    <w:rsid w:val="004D1405"/>
    <w:rsid w:val="004D14FD"/>
    <w:rsid w:val="004D188A"/>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27"/>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B0"/>
    <w:rsid w:val="004E1FAC"/>
    <w:rsid w:val="004E2027"/>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0F2"/>
    <w:rsid w:val="004E5286"/>
    <w:rsid w:val="004E5327"/>
    <w:rsid w:val="004E544D"/>
    <w:rsid w:val="004E558C"/>
    <w:rsid w:val="004E5CD5"/>
    <w:rsid w:val="004E66A2"/>
    <w:rsid w:val="004E6A34"/>
    <w:rsid w:val="004E6E83"/>
    <w:rsid w:val="004E75A4"/>
    <w:rsid w:val="004E7669"/>
    <w:rsid w:val="004E7797"/>
    <w:rsid w:val="004E7850"/>
    <w:rsid w:val="004E7936"/>
    <w:rsid w:val="004E7E63"/>
    <w:rsid w:val="004E7ED1"/>
    <w:rsid w:val="004E7FC9"/>
    <w:rsid w:val="004F05A6"/>
    <w:rsid w:val="004F05FC"/>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9D"/>
    <w:rsid w:val="004F38FB"/>
    <w:rsid w:val="004F3B0B"/>
    <w:rsid w:val="004F3FFC"/>
    <w:rsid w:val="004F419F"/>
    <w:rsid w:val="004F4ED8"/>
    <w:rsid w:val="004F4F3F"/>
    <w:rsid w:val="004F51E5"/>
    <w:rsid w:val="004F5B11"/>
    <w:rsid w:val="004F5F95"/>
    <w:rsid w:val="004F6078"/>
    <w:rsid w:val="004F632A"/>
    <w:rsid w:val="004F6383"/>
    <w:rsid w:val="004F6450"/>
    <w:rsid w:val="004F655A"/>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37C"/>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3FDF"/>
    <w:rsid w:val="00504359"/>
    <w:rsid w:val="005046A8"/>
    <w:rsid w:val="005053EA"/>
    <w:rsid w:val="00505E0E"/>
    <w:rsid w:val="00505EAD"/>
    <w:rsid w:val="005065FC"/>
    <w:rsid w:val="00506CB8"/>
    <w:rsid w:val="00506F09"/>
    <w:rsid w:val="00506FD0"/>
    <w:rsid w:val="005070B3"/>
    <w:rsid w:val="005070BF"/>
    <w:rsid w:val="005071DF"/>
    <w:rsid w:val="00507274"/>
    <w:rsid w:val="00507493"/>
    <w:rsid w:val="0050771D"/>
    <w:rsid w:val="00507E5F"/>
    <w:rsid w:val="00507F11"/>
    <w:rsid w:val="00507FA4"/>
    <w:rsid w:val="00510199"/>
    <w:rsid w:val="0051025F"/>
    <w:rsid w:val="00510678"/>
    <w:rsid w:val="00510729"/>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03"/>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4829"/>
    <w:rsid w:val="00524E3E"/>
    <w:rsid w:val="00525212"/>
    <w:rsid w:val="005252B0"/>
    <w:rsid w:val="0052586B"/>
    <w:rsid w:val="00525C17"/>
    <w:rsid w:val="00525D27"/>
    <w:rsid w:val="005263DC"/>
    <w:rsid w:val="005266AB"/>
    <w:rsid w:val="0052689E"/>
    <w:rsid w:val="0052697D"/>
    <w:rsid w:val="00526AB4"/>
    <w:rsid w:val="00526ACE"/>
    <w:rsid w:val="00526C4B"/>
    <w:rsid w:val="00526CD8"/>
    <w:rsid w:val="005277D6"/>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9C5"/>
    <w:rsid w:val="00535AD5"/>
    <w:rsid w:val="00535E75"/>
    <w:rsid w:val="00536045"/>
    <w:rsid w:val="00536243"/>
    <w:rsid w:val="005365A9"/>
    <w:rsid w:val="005366A5"/>
    <w:rsid w:val="00536B23"/>
    <w:rsid w:val="00536BA0"/>
    <w:rsid w:val="00536C35"/>
    <w:rsid w:val="005370D0"/>
    <w:rsid w:val="0053720F"/>
    <w:rsid w:val="00537735"/>
    <w:rsid w:val="00540132"/>
    <w:rsid w:val="00540412"/>
    <w:rsid w:val="005405EB"/>
    <w:rsid w:val="00540706"/>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26E"/>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3"/>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16"/>
    <w:rsid w:val="00563A56"/>
    <w:rsid w:val="00563ACC"/>
    <w:rsid w:val="00563EFC"/>
    <w:rsid w:val="005644EF"/>
    <w:rsid w:val="0056483F"/>
    <w:rsid w:val="00564AB1"/>
    <w:rsid w:val="00564D38"/>
    <w:rsid w:val="00564D51"/>
    <w:rsid w:val="00564E49"/>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94A"/>
    <w:rsid w:val="00576BED"/>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4EB"/>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77"/>
    <w:rsid w:val="005933A7"/>
    <w:rsid w:val="005934CF"/>
    <w:rsid w:val="005937B4"/>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97E29"/>
    <w:rsid w:val="005A01E9"/>
    <w:rsid w:val="005A0364"/>
    <w:rsid w:val="005A056B"/>
    <w:rsid w:val="005A06F6"/>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946"/>
    <w:rsid w:val="005B2D54"/>
    <w:rsid w:val="005B2E86"/>
    <w:rsid w:val="005B2F9C"/>
    <w:rsid w:val="005B34A0"/>
    <w:rsid w:val="005B34A1"/>
    <w:rsid w:val="005B3899"/>
    <w:rsid w:val="005B3971"/>
    <w:rsid w:val="005B3EF5"/>
    <w:rsid w:val="005B3F52"/>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D91"/>
    <w:rsid w:val="005B6EF2"/>
    <w:rsid w:val="005B6F84"/>
    <w:rsid w:val="005B7622"/>
    <w:rsid w:val="005B7A0F"/>
    <w:rsid w:val="005B7A8A"/>
    <w:rsid w:val="005C09B4"/>
    <w:rsid w:val="005C1155"/>
    <w:rsid w:val="005C1349"/>
    <w:rsid w:val="005C1428"/>
    <w:rsid w:val="005C16BE"/>
    <w:rsid w:val="005C199E"/>
    <w:rsid w:val="005C1F7A"/>
    <w:rsid w:val="005C217D"/>
    <w:rsid w:val="005C22A9"/>
    <w:rsid w:val="005C25B8"/>
    <w:rsid w:val="005C2BB7"/>
    <w:rsid w:val="005C345D"/>
    <w:rsid w:val="005C3824"/>
    <w:rsid w:val="005C3856"/>
    <w:rsid w:val="005C3946"/>
    <w:rsid w:val="005C3CDA"/>
    <w:rsid w:val="005C3D0E"/>
    <w:rsid w:val="005C3EB6"/>
    <w:rsid w:val="005C3EEE"/>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714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B8D"/>
    <w:rsid w:val="005D0DB2"/>
    <w:rsid w:val="005D100A"/>
    <w:rsid w:val="005D14FF"/>
    <w:rsid w:val="005D1AD5"/>
    <w:rsid w:val="005D1FB7"/>
    <w:rsid w:val="005D243D"/>
    <w:rsid w:val="005D26D3"/>
    <w:rsid w:val="005D28B1"/>
    <w:rsid w:val="005D2A17"/>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7069"/>
    <w:rsid w:val="005D73BE"/>
    <w:rsid w:val="005D7401"/>
    <w:rsid w:val="005D7622"/>
    <w:rsid w:val="005D788E"/>
    <w:rsid w:val="005E03D9"/>
    <w:rsid w:val="005E050B"/>
    <w:rsid w:val="005E06F1"/>
    <w:rsid w:val="005E0A2A"/>
    <w:rsid w:val="005E0AE8"/>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709"/>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A47"/>
    <w:rsid w:val="005E6E09"/>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134"/>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20"/>
    <w:rsid w:val="0060358B"/>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3BC"/>
    <w:rsid w:val="00607437"/>
    <w:rsid w:val="00607CE9"/>
    <w:rsid w:val="0061021D"/>
    <w:rsid w:val="00610603"/>
    <w:rsid w:val="0061085A"/>
    <w:rsid w:val="006108A8"/>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EE0"/>
    <w:rsid w:val="00616F12"/>
    <w:rsid w:val="00617541"/>
    <w:rsid w:val="006179AF"/>
    <w:rsid w:val="00617A04"/>
    <w:rsid w:val="00617BBB"/>
    <w:rsid w:val="00617C28"/>
    <w:rsid w:val="00617DC0"/>
    <w:rsid w:val="00617DD9"/>
    <w:rsid w:val="00617E7B"/>
    <w:rsid w:val="00617EE7"/>
    <w:rsid w:val="0062007F"/>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582"/>
    <w:rsid w:val="00622BB7"/>
    <w:rsid w:val="00622BE2"/>
    <w:rsid w:val="00622CFE"/>
    <w:rsid w:val="0062306C"/>
    <w:rsid w:val="0062319A"/>
    <w:rsid w:val="006231FE"/>
    <w:rsid w:val="006233DE"/>
    <w:rsid w:val="00623944"/>
    <w:rsid w:val="00623DDD"/>
    <w:rsid w:val="00623ED6"/>
    <w:rsid w:val="006242DE"/>
    <w:rsid w:val="006244C5"/>
    <w:rsid w:val="00624638"/>
    <w:rsid w:val="006246E3"/>
    <w:rsid w:val="00624A70"/>
    <w:rsid w:val="00624B38"/>
    <w:rsid w:val="00624D61"/>
    <w:rsid w:val="00624DAF"/>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818"/>
    <w:rsid w:val="006419D7"/>
    <w:rsid w:val="006420AF"/>
    <w:rsid w:val="006428D5"/>
    <w:rsid w:val="006428F5"/>
    <w:rsid w:val="00642BFC"/>
    <w:rsid w:val="00642E43"/>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70F6"/>
    <w:rsid w:val="006472CF"/>
    <w:rsid w:val="0064763A"/>
    <w:rsid w:val="00647764"/>
    <w:rsid w:val="006478A2"/>
    <w:rsid w:val="00647C58"/>
    <w:rsid w:val="00647FB1"/>
    <w:rsid w:val="00647FEC"/>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A7E"/>
    <w:rsid w:val="00652BF9"/>
    <w:rsid w:val="00652C77"/>
    <w:rsid w:val="006531FB"/>
    <w:rsid w:val="00653367"/>
    <w:rsid w:val="0065349C"/>
    <w:rsid w:val="00653714"/>
    <w:rsid w:val="00653B81"/>
    <w:rsid w:val="00653BC1"/>
    <w:rsid w:val="00653C04"/>
    <w:rsid w:val="00653CBB"/>
    <w:rsid w:val="00653CF6"/>
    <w:rsid w:val="00654249"/>
    <w:rsid w:val="00654481"/>
    <w:rsid w:val="006546A0"/>
    <w:rsid w:val="00654AF1"/>
    <w:rsid w:val="00654B5D"/>
    <w:rsid w:val="00654B85"/>
    <w:rsid w:val="00654DCD"/>
    <w:rsid w:val="00654FD5"/>
    <w:rsid w:val="006550BB"/>
    <w:rsid w:val="00655510"/>
    <w:rsid w:val="006555F7"/>
    <w:rsid w:val="006556B6"/>
    <w:rsid w:val="00655716"/>
    <w:rsid w:val="00655800"/>
    <w:rsid w:val="00655B45"/>
    <w:rsid w:val="00655C18"/>
    <w:rsid w:val="00655F32"/>
    <w:rsid w:val="0065670A"/>
    <w:rsid w:val="00656AAB"/>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EBF"/>
    <w:rsid w:val="00662FEE"/>
    <w:rsid w:val="00663145"/>
    <w:rsid w:val="00663625"/>
    <w:rsid w:val="00663D74"/>
    <w:rsid w:val="00663E25"/>
    <w:rsid w:val="0066412F"/>
    <w:rsid w:val="00664166"/>
    <w:rsid w:val="0066429C"/>
    <w:rsid w:val="0066456A"/>
    <w:rsid w:val="006647FE"/>
    <w:rsid w:val="006648C0"/>
    <w:rsid w:val="006648C4"/>
    <w:rsid w:val="00664FF1"/>
    <w:rsid w:val="00665027"/>
    <w:rsid w:val="0066504F"/>
    <w:rsid w:val="00665354"/>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D29"/>
    <w:rsid w:val="00677EC3"/>
    <w:rsid w:val="00677F7C"/>
    <w:rsid w:val="00680050"/>
    <w:rsid w:val="0068005F"/>
    <w:rsid w:val="006803A0"/>
    <w:rsid w:val="006806F8"/>
    <w:rsid w:val="00680CB9"/>
    <w:rsid w:val="00680CE1"/>
    <w:rsid w:val="00680F09"/>
    <w:rsid w:val="00680F4E"/>
    <w:rsid w:val="00680F9F"/>
    <w:rsid w:val="006811B4"/>
    <w:rsid w:val="006815CE"/>
    <w:rsid w:val="006818A1"/>
    <w:rsid w:val="00681F7E"/>
    <w:rsid w:val="0068225D"/>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0D0"/>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C3"/>
    <w:rsid w:val="00695CCD"/>
    <w:rsid w:val="00695E68"/>
    <w:rsid w:val="00695F83"/>
    <w:rsid w:val="00695FC6"/>
    <w:rsid w:val="0069649C"/>
    <w:rsid w:val="00696694"/>
    <w:rsid w:val="0069680A"/>
    <w:rsid w:val="00696C86"/>
    <w:rsid w:val="00696FA0"/>
    <w:rsid w:val="00697104"/>
    <w:rsid w:val="00697305"/>
    <w:rsid w:val="00697506"/>
    <w:rsid w:val="00697671"/>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6AF"/>
    <w:rsid w:val="006A5756"/>
    <w:rsid w:val="006A5B87"/>
    <w:rsid w:val="006A5BA1"/>
    <w:rsid w:val="006A5C56"/>
    <w:rsid w:val="006A5D9C"/>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B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1E5"/>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A92"/>
    <w:rsid w:val="006C7652"/>
    <w:rsid w:val="006C7920"/>
    <w:rsid w:val="006C7BF1"/>
    <w:rsid w:val="006C7D28"/>
    <w:rsid w:val="006C7EFB"/>
    <w:rsid w:val="006D0052"/>
    <w:rsid w:val="006D0214"/>
    <w:rsid w:val="006D0275"/>
    <w:rsid w:val="006D072F"/>
    <w:rsid w:val="006D084A"/>
    <w:rsid w:val="006D09D1"/>
    <w:rsid w:val="006D0B41"/>
    <w:rsid w:val="006D0F05"/>
    <w:rsid w:val="006D1106"/>
    <w:rsid w:val="006D1D8B"/>
    <w:rsid w:val="006D2412"/>
    <w:rsid w:val="006D2568"/>
    <w:rsid w:val="006D2627"/>
    <w:rsid w:val="006D264A"/>
    <w:rsid w:val="006D277B"/>
    <w:rsid w:val="006D27D9"/>
    <w:rsid w:val="006D27E5"/>
    <w:rsid w:val="006D2B2C"/>
    <w:rsid w:val="006D2F95"/>
    <w:rsid w:val="006D3144"/>
    <w:rsid w:val="006D336C"/>
    <w:rsid w:val="006D352A"/>
    <w:rsid w:val="006D39CE"/>
    <w:rsid w:val="006D3CD3"/>
    <w:rsid w:val="006D415C"/>
    <w:rsid w:val="006D42FF"/>
    <w:rsid w:val="006D463A"/>
    <w:rsid w:val="006D4881"/>
    <w:rsid w:val="006D4A79"/>
    <w:rsid w:val="006D4B7F"/>
    <w:rsid w:val="006D4CF6"/>
    <w:rsid w:val="006D4D37"/>
    <w:rsid w:val="006D4F99"/>
    <w:rsid w:val="006D5245"/>
    <w:rsid w:val="006D52CB"/>
    <w:rsid w:val="006D5358"/>
    <w:rsid w:val="006D55A4"/>
    <w:rsid w:val="006D5797"/>
    <w:rsid w:val="006D62A0"/>
    <w:rsid w:val="006D676C"/>
    <w:rsid w:val="006D6D1C"/>
    <w:rsid w:val="006D6E94"/>
    <w:rsid w:val="006D71BA"/>
    <w:rsid w:val="006D7253"/>
    <w:rsid w:val="006D76D3"/>
    <w:rsid w:val="006D7841"/>
    <w:rsid w:val="006D7DA8"/>
    <w:rsid w:val="006D7F7A"/>
    <w:rsid w:val="006D7FB2"/>
    <w:rsid w:val="006E0114"/>
    <w:rsid w:val="006E01E2"/>
    <w:rsid w:val="006E020B"/>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10F6"/>
    <w:rsid w:val="006F132D"/>
    <w:rsid w:val="006F18A5"/>
    <w:rsid w:val="006F1D2F"/>
    <w:rsid w:val="006F23B2"/>
    <w:rsid w:val="006F323E"/>
    <w:rsid w:val="006F35D6"/>
    <w:rsid w:val="006F3858"/>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5964"/>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2C"/>
    <w:rsid w:val="00700BCA"/>
    <w:rsid w:val="007010A5"/>
    <w:rsid w:val="007011E9"/>
    <w:rsid w:val="00701583"/>
    <w:rsid w:val="00702378"/>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1E"/>
    <w:rsid w:val="007044EE"/>
    <w:rsid w:val="00704908"/>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57E"/>
    <w:rsid w:val="00707837"/>
    <w:rsid w:val="00707BC3"/>
    <w:rsid w:val="00707D4E"/>
    <w:rsid w:val="00710426"/>
    <w:rsid w:val="00710450"/>
    <w:rsid w:val="00710B12"/>
    <w:rsid w:val="00710BBC"/>
    <w:rsid w:val="00710D5B"/>
    <w:rsid w:val="00710E45"/>
    <w:rsid w:val="007112F4"/>
    <w:rsid w:val="00711B03"/>
    <w:rsid w:val="00712288"/>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C2C"/>
    <w:rsid w:val="00727D68"/>
    <w:rsid w:val="00727F7B"/>
    <w:rsid w:val="007302CD"/>
    <w:rsid w:val="0073031A"/>
    <w:rsid w:val="00730F96"/>
    <w:rsid w:val="00730F9F"/>
    <w:rsid w:val="0073111F"/>
    <w:rsid w:val="0073185F"/>
    <w:rsid w:val="00731A09"/>
    <w:rsid w:val="00731DD7"/>
    <w:rsid w:val="00731E20"/>
    <w:rsid w:val="00732490"/>
    <w:rsid w:val="0073276F"/>
    <w:rsid w:val="00732771"/>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50F6"/>
    <w:rsid w:val="007351BA"/>
    <w:rsid w:val="007352C7"/>
    <w:rsid w:val="007356AA"/>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5EA"/>
    <w:rsid w:val="00744644"/>
    <w:rsid w:val="0074531A"/>
    <w:rsid w:val="0074542B"/>
    <w:rsid w:val="00745707"/>
    <w:rsid w:val="007457C7"/>
    <w:rsid w:val="0074595E"/>
    <w:rsid w:val="00745A3E"/>
    <w:rsid w:val="00745BD0"/>
    <w:rsid w:val="00745DB7"/>
    <w:rsid w:val="00745EAA"/>
    <w:rsid w:val="0074616E"/>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A17"/>
    <w:rsid w:val="00752EC5"/>
    <w:rsid w:val="007536DE"/>
    <w:rsid w:val="00753F1D"/>
    <w:rsid w:val="007546F7"/>
    <w:rsid w:val="007547FC"/>
    <w:rsid w:val="0075495D"/>
    <w:rsid w:val="007549EB"/>
    <w:rsid w:val="00754DD7"/>
    <w:rsid w:val="00754F8B"/>
    <w:rsid w:val="00754FD4"/>
    <w:rsid w:val="0075509B"/>
    <w:rsid w:val="00755119"/>
    <w:rsid w:val="007551FF"/>
    <w:rsid w:val="0075558E"/>
    <w:rsid w:val="007557BE"/>
    <w:rsid w:val="007559C6"/>
    <w:rsid w:val="00755B44"/>
    <w:rsid w:val="0075619E"/>
    <w:rsid w:val="007562A6"/>
    <w:rsid w:val="007562E6"/>
    <w:rsid w:val="00756525"/>
    <w:rsid w:val="007567DB"/>
    <w:rsid w:val="00756BEC"/>
    <w:rsid w:val="00756E2E"/>
    <w:rsid w:val="00756F3F"/>
    <w:rsid w:val="00757759"/>
    <w:rsid w:val="00757B44"/>
    <w:rsid w:val="00757DB7"/>
    <w:rsid w:val="00757EEE"/>
    <w:rsid w:val="007603BA"/>
    <w:rsid w:val="007603FF"/>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E87"/>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98D"/>
    <w:rsid w:val="00772C05"/>
    <w:rsid w:val="00772C40"/>
    <w:rsid w:val="00773092"/>
    <w:rsid w:val="007735B6"/>
    <w:rsid w:val="00773AD5"/>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13B"/>
    <w:rsid w:val="00783445"/>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EEA"/>
    <w:rsid w:val="00791022"/>
    <w:rsid w:val="00791190"/>
    <w:rsid w:val="00791457"/>
    <w:rsid w:val="007914EA"/>
    <w:rsid w:val="0079220D"/>
    <w:rsid w:val="0079223A"/>
    <w:rsid w:val="0079283A"/>
    <w:rsid w:val="00792938"/>
    <w:rsid w:val="007929B6"/>
    <w:rsid w:val="00792EF8"/>
    <w:rsid w:val="00793109"/>
    <w:rsid w:val="0079345D"/>
    <w:rsid w:val="007935B5"/>
    <w:rsid w:val="00793884"/>
    <w:rsid w:val="00793A5E"/>
    <w:rsid w:val="00793B01"/>
    <w:rsid w:val="00793ED4"/>
    <w:rsid w:val="00793F96"/>
    <w:rsid w:val="007940F1"/>
    <w:rsid w:val="0079460A"/>
    <w:rsid w:val="0079483B"/>
    <w:rsid w:val="00794A4B"/>
    <w:rsid w:val="00794AEC"/>
    <w:rsid w:val="00794D56"/>
    <w:rsid w:val="00795204"/>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80"/>
    <w:rsid w:val="00797F7E"/>
    <w:rsid w:val="007A01F0"/>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1FF"/>
    <w:rsid w:val="007A24DB"/>
    <w:rsid w:val="007A28B5"/>
    <w:rsid w:val="007A28E5"/>
    <w:rsid w:val="007A3049"/>
    <w:rsid w:val="007A30A3"/>
    <w:rsid w:val="007A33BB"/>
    <w:rsid w:val="007A354B"/>
    <w:rsid w:val="007A3636"/>
    <w:rsid w:val="007A37F7"/>
    <w:rsid w:val="007A3839"/>
    <w:rsid w:val="007A3CB6"/>
    <w:rsid w:val="007A3CDD"/>
    <w:rsid w:val="007A3F64"/>
    <w:rsid w:val="007A3FCC"/>
    <w:rsid w:val="007A40DC"/>
    <w:rsid w:val="007A4255"/>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19"/>
    <w:rsid w:val="007B16A2"/>
    <w:rsid w:val="007B211A"/>
    <w:rsid w:val="007B21C7"/>
    <w:rsid w:val="007B2327"/>
    <w:rsid w:val="007B2370"/>
    <w:rsid w:val="007B26C3"/>
    <w:rsid w:val="007B2746"/>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B7B6A"/>
    <w:rsid w:val="007C0032"/>
    <w:rsid w:val="007C0714"/>
    <w:rsid w:val="007C0A32"/>
    <w:rsid w:val="007C11D7"/>
    <w:rsid w:val="007C15B4"/>
    <w:rsid w:val="007C15B7"/>
    <w:rsid w:val="007C1E5E"/>
    <w:rsid w:val="007C1F1B"/>
    <w:rsid w:val="007C21A8"/>
    <w:rsid w:val="007C21DE"/>
    <w:rsid w:val="007C26B1"/>
    <w:rsid w:val="007C273D"/>
    <w:rsid w:val="007C2838"/>
    <w:rsid w:val="007C2D43"/>
    <w:rsid w:val="007C2E9E"/>
    <w:rsid w:val="007C316F"/>
    <w:rsid w:val="007C341F"/>
    <w:rsid w:val="007C3D92"/>
    <w:rsid w:val="007C403B"/>
    <w:rsid w:val="007C4446"/>
    <w:rsid w:val="007C4A2A"/>
    <w:rsid w:val="007C55D3"/>
    <w:rsid w:val="007C5676"/>
    <w:rsid w:val="007C567C"/>
    <w:rsid w:val="007C59C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3A72"/>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9CD"/>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AC5"/>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D9C"/>
    <w:rsid w:val="00803EF4"/>
    <w:rsid w:val="00803FF7"/>
    <w:rsid w:val="008040BC"/>
    <w:rsid w:val="00804A0D"/>
    <w:rsid w:val="00804B9A"/>
    <w:rsid w:val="00804E53"/>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EF8"/>
    <w:rsid w:val="0081057F"/>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6B7"/>
    <w:rsid w:val="008209E2"/>
    <w:rsid w:val="00820A16"/>
    <w:rsid w:val="00820B13"/>
    <w:rsid w:val="008213E0"/>
    <w:rsid w:val="008218E0"/>
    <w:rsid w:val="00821C64"/>
    <w:rsid w:val="00821D94"/>
    <w:rsid w:val="00822384"/>
    <w:rsid w:val="008224D2"/>
    <w:rsid w:val="008224E8"/>
    <w:rsid w:val="008226A7"/>
    <w:rsid w:val="00822783"/>
    <w:rsid w:val="00822869"/>
    <w:rsid w:val="00822874"/>
    <w:rsid w:val="00822A9E"/>
    <w:rsid w:val="00822D16"/>
    <w:rsid w:val="008243A0"/>
    <w:rsid w:val="0082440E"/>
    <w:rsid w:val="008245B0"/>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9FF"/>
    <w:rsid w:val="00826A89"/>
    <w:rsid w:val="00826B08"/>
    <w:rsid w:val="00826DBA"/>
    <w:rsid w:val="0082735C"/>
    <w:rsid w:val="00827373"/>
    <w:rsid w:val="00827666"/>
    <w:rsid w:val="0082767E"/>
    <w:rsid w:val="00827E18"/>
    <w:rsid w:val="00827E79"/>
    <w:rsid w:val="00827F2E"/>
    <w:rsid w:val="0083003D"/>
    <w:rsid w:val="008300CE"/>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ABE"/>
    <w:rsid w:val="00836D6D"/>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286"/>
    <w:rsid w:val="008412A4"/>
    <w:rsid w:val="008415DD"/>
    <w:rsid w:val="0084171F"/>
    <w:rsid w:val="00841770"/>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ECD"/>
    <w:rsid w:val="00864F29"/>
    <w:rsid w:val="008650A3"/>
    <w:rsid w:val="00865193"/>
    <w:rsid w:val="008653A3"/>
    <w:rsid w:val="0086559E"/>
    <w:rsid w:val="00865627"/>
    <w:rsid w:val="008656D7"/>
    <w:rsid w:val="008656E4"/>
    <w:rsid w:val="008658BB"/>
    <w:rsid w:val="00865B34"/>
    <w:rsid w:val="00865D1D"/>
    <w:rsid w:val="00865F1B"/>
    <w:rsid w:val="00865F2A"/>
    <w:rsid w:val="00866272"/>
    <w:rsid w:val="00866394"/>
    <w:rsid w:val="00866696"/>
    <w:rsid w:val="0086676A"/>
    <w:rsid w:val="008669A7"/>
    <w:rsid w:val="00866C32"/>
    <w:rsid w:val="0086714A"/>
    <w:rsid w:val="00867757"/>
    <w:rsid w:val="00867A65"/>
    <w:rsid w:val="00867A9D"/>
    <w:rsid w:val="00867F12"/>
    <w:rsid w:val="00867F2F"/>
    <w:rsid w:val="0087069F"/>
    <w:rsid w:val="0087092A"/>
    <w:rsid w:val="008709D8"/>
    <w:rsid w:val="00870B13"/>
    <w:rsid w:val="00870D70"/>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24"/>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981"/>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7E"/>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CD8"/>
    <w:rsid w:val="008A2D53"/>
    <w:rsid w:val="008A2E6F"/>
    <w:rsid w:val="008A3070"/>
    <w:rsid w:val="008A393B"/>
    <w:rsid w:val="008A394F"/>
    <w:rsid w:val="008A44C1"/>
    <w:rsid w:val="008A4765"/>
    <w:rsid w:val="008A4824"/>
    <w:rsid w:val="008A4B1D"/>
    <w:rsid w:val="008A539A"/>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4C8"/>
    <w:rsid w:val="008A7637"/>
    <w:rsid w:val="008A7918"/>
    <w:rsid w:val="008A7C62"/>
    <w:rsid w:val="008A7CBF"/>
    <w:rsid w:val="008B0032"/>
    <w:rsid w:val="008B0215"/>
    <w:rsid w:val="008B0370"/>
    <w:rsid w:val="008B04E4"/>
    <w:rsid w:val="008B06B0"/>
    <w:rsid w:val="008B0C53"/>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3391"/>
    <w:rsid w:val="008B36B4"/>
    <w:rsid w:val="008B3971"/>
    <w:rsid w:val="008B3B18"/>
    <w:rsid w:val="008B3C53"/>
    <w:rsid w:val="008B4057"/>
    <w:rsid w:val="008B42F6"/>
    <w:rsid w:val="008B44B2"/>
    <w:rsid w:val="008B494B"/>
    <w:rsid w:val="008B4A3D"/>
    <w:rsid w:val="008B4A45"/>
    <w:rsid w:val="008B4F40"/>
    <w:rsid w:val="008B5380"/>
    <w:rsid w:val="008B5AA3"/>
    <w:rsid w:val="008B5B47"/>
    <w:rsid w:val="008B5C5E"/>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1EF1"/>
    <w:rsid w:val="008C200A"/>
    <w:rsid w:val="008C2CC6"/>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3EA"/>
    <w:rsid w:val="008F05D5"/>
    <w:rsid w:val="008F0ABD"/>
    <w:rsid w:val="008F0B8D"/>
    <w:rsid w:val="008F0BBC"/>
    <w:rsid w:val="008F1194"/>
    <w:rsid w:val="008F1692"/>
    <w:rsid w:val="008F175E"/>
    <w:rsid w:val="008F18A6"/>
    <w:rsid w:val="008F18A8"/>
    <w:rsid w:val="008F194B"/>
    <w:rsid w:val="008F19E3"/>
    <w:rsid w:val="008F1B6C"/>
    <w:rsid w:val="008F1E11"/>
    <w:rsid w:val="008F1F8C"/>
    <w:rsid w:val="008F216B"/>
    <w:rsid w:val="008F227C"/>
    <w:rsid w:val="008F2349"/>
    <w:rsid w:val="008F2413"/>
    <w:rsid w:val="008F25FC"/>
    <w:rsid w:val="008F2775"/>
    <w:rsid w:val="008F2964"/>
    <w:rsid w:val="008F2B23"/>
    <w:rsid w:val="008F2DBD"/>
    <w:rsid w:val="008F3061"/>
    <w:rsid w:val="008F31B6"/>
    <w:rsid w:val="008F31DD"/>
    <w:rsid w:val="008F3992"/>
    <w:rsid w:val="008F39D3"/>
    <w:rsid w:val="008F3DAF"/>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2E2"/>
    <w:rsid w:val="008F6397"/>
    <w:rsid w:val="008F66DC"/>
    <w:rsid w:val="008F6A83"/>
    <w:rsid w:val="008F70C6"/>
    <w:rsid w:val="008F7189"/>
    <w:rsid w:val="008F7516"/>
    <w:rsid w:val="008F788F"/>
    <w:rsid w:val="008F7DDA"/>
    <w:rsid w:val="00900204"/>
    <w:rsid w:val="00900402"/>
    <w:rsid w:val="0090073C"/>
    <w:rsid w:val="009008D0"/>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40"/>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14F"/>
    <w:rsid w:val="009154D0"/>
    <w:rsid w:val="00915534"/>
    <w:rsid w:val="0091598A"/>
    <w:rsid w:val="00915C39"/>
    <w:rsid w:val="00915E0E"/>
    <w:rsid w:val="0091628C"/>
    <w:rsid w:val="009163C9"/>
    <w:rsid w:val="009164E4"/>
    <w:rsid w:val="00916676"/>
    <w:rsid w:val="009169C5"/>
    <w:rsid w:val="009171F2"/>
    <w:rsid w:val="009172D5"/>
    <w:rsid w:val="009173BC"/>
    <w:rsid w:val="00917806"/>
    <w:rsid w:val="00917A51"/>
    <w:rsid w:val="00917A9E"/>
    <w:rsid w:val="00917BCA"/>
    <w:rsid w:val="00917E70"/>
    <w:rsid w:val="00920220"/>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FB8"/>
    <w:rsid w:val="009230CC"/>
    <w:rsid w:val="0092315F"/>
    <w:rsid w:val="0092345D"/>
    <w:rsid w:val="009239CE"/>
    <w:rsid w:val="00923ACE"/>
    <w:rsid w:val="00923C5C"/>
    <w:rsid w:val="009240BF"/>
    <w:rsid w:val="00924382"/>
    <w:rsid w:val="0092438D"/>
    <w:rsid w:val="0092442F"/>
    <w:rsid w:val="009249F6"/>
    <w:rsid w:val="00925001"/>
    <w:rsid w:val="00925431"/>
    <w:rsid w:val="00925464"/>
    <w:rsid w:val="009258D4"/>
    <w:rsid w:val="00925BF5"/>
    <w:rsid w:val="00925C2A"/>
    <w:rsid w:val="00925E1A"/>
    <w:rsid w:val="00926391"/>
    <w:rsid w:val="00926C22"/>
    <w:rsid w:val="00926D0A"/>
    <w:rsid w:val="00926D44"/>
    <w:rsid w:val="00926E4E"/>
    <w:rsid w:val="00926F98"/>
    <w:rsid w:val="00927049"/>
    <w:rsid w:val="0092734E"/>
    <w:rsid w:val="0092757B"/>
    <w:rsid w:val="00927B5A"/>
    <w:rsid w:val="00927BAC"/>
    <w:rsid w:val="00927C3E"/>
    <w:rsid w:val="00927E0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98A"/>
    <w:rsid w:val="00933D57"/>
    <w:rsid w:val="00933E44"/>
    <w:rsid w:val="0093425A"/>
    <w:rsid w:val="009342DC"/>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744"/>
    <w:rsid w:val="00942810"/>
    <w:rsid w:val="00942A31"/>
    <w:rsid w:val="00942C1F"/>
    <w:rsid w:val="00942F98"/>
    <w:rsid w:val="00943380"/>
    <w:rsid w:val="0094340B"/>
    <w:rsid w:val="00943AD5"/>
    <w:rsid w:val="00943B32"/>
    <w:rsid w:val="00943BD7"/>
    <w:rsid w:val="00943DCD"/>
    <w:rsid w:val="00943E10"/>
    <w:rsid w:val="009440CB"/>
    <w:rsid w:val="00944291"/>
    <w:rsid w:val="00944628"/>
    <w:rsid w:val="00944690"/>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D76"/>
    <w:rsid w:val="00951FFA"/>
    <w:rsid w:val="009525A0"/>
    <w:rsid w:val="00952780"/>
    <w:rsid w:val="00952949"/>
    <w:rsid w:val="00952A30"/>
    <w:rsid w:val="00952CD7"/>
    <w:rsid w:val="00952DFE"/>
    <w:rsid w:val="009531ED"/>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CF1"/>
    <w:rsid w:val="00957D5E"/>
    <w:rsid w:val="00957FD3"/>
    <w:rsid w:val="009606D0"/>
    <w:rsid w:val="009608B5"/>
    <w:rsid w:val="009609A1"/>
    <w:rsid w:val="00960A54"/>
    <w:rsid w:val="00960B40"/>
    <w:rsid w:val="00960D87"/>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282"/>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72E"/>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B87"/>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D6"/>
    <w:rsid w:val="009952EB"/>
    <w:rsid w:val="00995756"/>
    <w:rsid w:val="009959E1"/>
    <w:rsid w:val="00995A55"/>
    <w:rsid w:val="00995C7F"/>
    <w:rsid w:val="00995D9F"/>
    <w:rsid w:val="00996282"/>
    <w:rsid w:val="00996CDE"/>
    <w:rsid w:val="009972FC"/>
    <w:rsid w:val="00997414"/>
    <w:rsid w:val="009974F4"/>
    <w:rsid w:val="0099752A"/>
    <w:rsid w:val="00997B26"/>
    <w:rsid w:val="009A05F0"/>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30A6"/>
    <w:rsid w:val="009A329D"/>
    <w:rsid w:val="009A3C10"/>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C1B"/>
    <w:rsid w:val="009A6D4B"/>
    <w:rsid w:val="009A6D77"/>
    <w:rsid w:val="009A6F45"/>
    <w:rsid w:val="009A7087"/>
    <w:rsid w:val="009A7147"/>
    <w:rsid w:val="009A7251"/>
    <w:rsid w:val="009A732A"/>
    <w:rsid w:val="009A734F"/>
    <w:rsid w:val="009A7F02"/>
    <w:rsid w:val="009B0004"/>
    <w:rsid w:val="009B012F"/>
    <w:rsid w:val="009B07F7"/>
    <w:rsid w:val="009B09FF"/>
    <w:rsid w:val="009B0DCB"/>
    <w:rsid w:val="009B0E01"/>
    <w:rsid w:val="009B0E36"/>
    <w:rsid w:val="009B108F"/>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70E"/>
    <w:rsid w:val="009B5923"/>
    <w:rsid w:val="009B59FD"/>
    <w:rsid w:val="009B5AD0"/>
    <w:rsid w:val="009B5CC1"/>
    <w:rsid w:val="009B5CCB"/>
    <w:rsid w:val="009B5E0C"/>
    <w:rsid w:val="009B6005"/>
    <w:rsid w:val="009B6060"/>
    <w:rsid w:val="009B6202"/>
    <w:rsid w:val="009B63A9"/>
    <w:rsid w:val="009B6DAA"/>
    <w:rsid w:val="009B6DBF"/>
    <w:rsid w:val="009B7121"/>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823"/>
    <w:rsid w:val="009C48D4"/>
    <w:rsid w:val="009C4B48"/>
    <w:rsid w:val="009C4E60"/>
    <w:rsid w:val="009C53AA"/>
    <w:rsid w:val="009C54A7"/>
    <w:rsid w:val="009C57B3"/>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70E"/>
    <w:rsid w:val="009D0B00"/>
    <w:rsid w:val="009D0BB5"/>
    <w:rsid w:val="009D1064"/>
    <w:rsid w:val="009D10CF"/>
    <w:rsid w:val="009D135B"/>
    <w:rsid w:val="009D1486"/>
    <w:rsid w:val="009D1588"/>
    <w:rsid w:val="009D1AC4"/>
    <w:rsid w:val="009D1D03"/>
    <w:rsid w:val="009D205E"/>
    <w:rsid w:val="009D20B5"/>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EF"/>
    <w:rsid w:val="009E0DF6"/>
    <w:rsid w:val="009E0EE4"/>
    <w:rsid w:val="009E0FD0"/>
    <w:rsid w:val="009E1092"/>
    <w:rsid w:val="009E10CB"/>
    <w:rsid w:val="009E114D"/>
    <w:rsid w:val="009E1186"/>
    <w:rsid w:val="009E1330"/>
    <w:rsid w:val="009E1C08"/>
    <w:rsid w:val="009E1CD6"/>
    <w:rsid w:val="009E1D27"/>
    <w:rsid w:val="009E1EDA"/>
    <w:rsid w:val="009E1F3F"/>
    <w:rsid w:val="009E2282"/>
    <w:rsid w:val="009E256C"/>
    <w:rsid w:val="009E25B6"/>
    <w:rsid w:val="009E28F3"/>
    <w:rsid w:val="009E2909"/>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E7E35"/>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EC7"/>
    <w:rsid w:val="00A06117"/>
    <w:rsid w:val="00A061BC"/>
    <w:rsid w:val="00A062B0"/>
    <w:rsid w:val="00A066CD"/>
    <w:rsid w:val="00A06C34"/>
    <w:rsid w:val="00A06C84"/>
    <w:rsid w:val="00A06E58"/>
    <w:rsid w:val="00A07119"/>
    <w:rsid w:val="00A0717E"/>
    <w:rsid w:val="00A078E7"/>
    <w:rsid w:val="00A07943"/>
    <w:rsid w:val="00A07C34"/>
    <w:rsid w:val="00A1036A"/>
    <w:rsid w:val="00A104DB"/>
    <w:rsid w:val="00A10987"/>
    <w:rsid w:val="00A10BB4"/>
    <w:rsid w:val="00A10E56"/>
    <w:rsid w:val="00A11010"/>
    <w:rsid w:val="00A11156"/>
    <w:rsid w:val="00A11695"/>
    <w:rsid w:val="00A116A4"/>
    <w:rsid w:val="00A11768"/>
    <w:rsid w:val="00A117B3"/>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B11"/>
    <w:rsid w:val="00A14E1E"/>
    <w:rsid w:val="00A14E57"/>
    <w:rsid w:val="00A15019"/>
    <w:rsid w:val="00A1546F"/>
    <w:rsid w:val="00A155C8"/>
    <w:rsid w:val="00A15AED"/>
    <w:rsid w:val="00A16351"/>
    <w:rsid w:val="00A163C8"/>
    <w:rsid w:val="00A165AF"/>
    <w:rsid w:val="00A166B9"/>
    <w:rsid w:val="00A16EC4"/>
    <w:rsid w:val="00A16FF0"/>
    <w:rsid w:val="00A17714"/>
    <w:rsid w:val="00A17735"/>
    <w:rsid w:val="00A17D29"/>
    <w:rsid w:val="00A17D92"/>
    <w:rsid w:val="00A17D9B"/>
    <w:rsid w:val="00A20095"/>
    <w:rsid w:val="00A200F9"/>
    <w:rsid w:val="00A204D4"/>
    <w:rsid w:val="00A20575"/>
    <w:rsid w:val="00A20B47"/>
    <w:rsid w:val="00A20BA9"/>
    <w:rsid w:val="00A21CCA"/>
    <w:rsid w:val="00A2202C"/>
    <w:rsid w:val="00A22403"/>
    <w:rsid w:val="00A224EE"/>
    <w:rsid w:val="00A22662"/>
    <w:rsid w:val="00A2274D"/>
    <w:rsid w:val="00A22A1B"/>
    <w:rsid w:val="00A22DF4"/>
    <w:rsid w:val="00A23258"/>
    <w:rsid w:val="00A23622"/>
    <w:rsid w:val="00A2388C"/>
    <w:rsid w:val="00A23C0F"/>
    <w:rsid w:val="00A23F31"/>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DE1"/>
    <w:rsid w:val="00A26F8F"/>
    <w:rsid w:val="00A27AEA"/>
    <w:rsid w:val="00A27FE1"/>
    <w:rsid w:val="00A30246"/>
    <w:rsid w:val="00A3129B"/>
    <w:rsid w:val="00A316EF"/>
    <w:rsid w:val="00A31792"/>
    <w:rsid w:val="00A317AE"/>
    <w:rsid w:val="00A3197D"/>
    <w:rsid w:val="00A31A5C"/>
    <w:rsid w:val="00A31A91"/>
    <w:rsid w:val="00A31DAC"/>
    <w:rsid w:val="00A31F96"/>
    <w:rsid w:val="00A3201B"/>
    <w:rsid w:val="00A320AB"/>
    <w:rsid w:val="00A3238B"/>
    <w:rsid w:val="00A324FB"/>
    <w:rsid w:val="00A3280B"/>
    <w:rsid w:val="00A329B9"/>
    <w:rsid w:val="00A32BDD"/>
    <w:rsid w:val="00A32D17"/>
    <w:rsid w:val="00A33555"/>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A36"/>
    <w:rsid w:val="00A45B56"/>
    <w:rsid w:val="00A45E5F"/>
    <w:rsid w:val="00A45E98"/>
    <w:rsid w:val="00A46584"/>
    <w:rsid w:val="00A46595"/>
    <w:rsid w:val="00A465D3"/>
    <w:rsid w:val="00A46734"/>
    <w:rsid w:val="00A467B9"/>
    <w:rsid w:val="00A47132"/>
    <w:rsid w:val="00A471D5"/>
    <w:rsid w:val="00A473C1"/>
    <w:rsid w:val="00A4757C"/>
    <w:rsid w:val="00A47914"/>
    <w:rsid w:val="00A47A59"/>
    <w:rsid w:val="00A47CDC"/>
    <w:rsid w:val="00A47E10"/>
    <w:rsid w:val="00A501F1"/>
    <w:rsid w:val="00A5047F"/>
    <w:rsid w:val="00A50ACD"/>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2C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B62"/>
    <w:rsid w:val="00A63D51"/>
    <w:rsid w:val="00A63EE1"/>
    <w:rsid w:val="00A6403B"/>
    <w:rsid w:val="00A646D2"/>
    <w:rsid w:val="00A64A53"/>
    <w:rsid w:val="00A64ADE"/>
    <w:rsid w:val="00A65557"/>
    <w:rsid w:val="00A655E8"/>
    <w:rsid w:val="00A65836"/>
    <w:rsid w:val="00A65BA7"/>
    <w:rsid w:val="00A6644F"/>
    <w:rsid w:val="00A66742"/>
    <w:rsid w:val="00A66781"/>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1C99"/>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6"/>
    <w:rsid w:val="00A7434A"/>
    <w:rsid w:val="00A743AF"/>
    <w:rsid w:val="00A744E2"/>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0E6"/>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C7"/>
    <w:rsid w:val="00A837F5"/>
    <w:rsid w:val="00A83809"/>
    <w:rsid w:val="00A838B3"/>
    <w:rsid w:val="00A83A28"/>
    <w:rsid w:val="00A83AA9"/>
    <w:rsid w:val="00A83E89"/>
    <w:rsid w:val="00A83F46"/>
    <w:rsid w:val="00A83F91"/>
    <w:rsid w:val="00A84068"/>
    <w:rsid w:val="00A84115"/>
    <w:rsid w:val="00A84563"/>
    <w:rsid w:val="00A846E9"/>
    <w:rsid w:val="00A848E3"/>
    <w:rsid w:val="00A84CCF"/>
    <w:rsid w:val="00A84EC4"/>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72F"/>
    <w:rsid w:val="00A879C1"/>
    <w:rsid w:val="00A87BAA"/>
    <w:rsid w:val="00A87DF8"/>
    <w:rsid w:val="00A87FD1"/>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A53"/>
    <w:rsid w:val="00A92C91"/>
    <w:rsid w:val="00A92DE6"/>
    <w:rsid w:val="00A92E12"/>
    <w:rsid w:val="00A93003"/>
    <w:rsid w:val="00A93039"/>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243"/>
    <w:rsid w:val="00AA431A"/>
    <w:rsid w:val="00AA44D5"/>
    <w:rsid w:val="00AA49BB"/>
    <w:rsid w:val="00AA4D85"/>
    <w:rsid w:val="00AA55BA"/>
    <w:rsid w:val="00AA596F"/>
    <w:rsid w:val="00AA5BFE"/>
    <w:rsid w:val="00AA60B9"/>
    <w:rsid w:val="00AA68EA"/>
    <w:rsid w:val="00AA6C89"/>
    <w:rsid w:val="00AA71C8"/>
    <w:rsid w:val="00AA73D0"/>
    <w:rsid w:val="00AA7447"/>
    <w:rsid w:val="00AA74BD"/>
    <w:rsid w:val="00AA7B24"/>
    <w:rsid w:val="00AA7C0A"/>
    <w:rsid w:val="00AA7D1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6"/>
    <w:rsid w:val="00AB32E9"/>
    <w:rsid w:val="00AB3443"/>
    <w:rsid w:val="00AB3536"/>
    <w:rsid w:val="00AB38A7"/>
    <w:rsid w:val="00AB3FD9"/>
    <w:rsid w:val="00AB40CB"/>
    <w:rsid w:val="00AB425A"/>
    <w:rsid w:val="00AB4400"/>
    <w:rsid w:val="00AB462E"/>
    <w:rsid w:val="00AB481E"/>
    <w:rsid w:val="00AB4914"/>
    <w:rsid w:val="00AB4C17"/>
    <w:rsid w:val="00AB555B"/>
    <w:rsid w:val="00AB587E"/>
    <w:rsid w:val="00AB5EA5"/>
    <w:rsid w:val="00AB5F22"/>
    <w:rsid w:val="00AB5FDE"/>
    <w:rsid w:val="00AB64BF"/>
    <w:rsid w:val="00AB6B4A"/>
    <w:rsid w:val="00AB6E71"/>
    <w:rsid w:val="00AB6F3A"/>
    <w:rsid w:val="00AB6FDB"/>
    <w:rsid w:val="00AB6FDE"/>
    <w:rsid w:val="00AB7160"/>
    <w:rsid w:val="00AB752A"/>
    <w:rsid w:val="00AB76A3"/>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E06"/>
    <w:rsid w:val="00AC7043"/>
    <w:rsid w:val="00AC7113"/>
    <w:rsid w:val="00AC749E"/>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7D3"/>
    <w:rsid w:val="00AD287A"/>
    <w:rsid w:val="00AD2917"/>
    <w:rsid w:val="00AD29DC"/>
    <w:rsid w:val="00AD2AB1"/>
    <w:rsid w:val="00AD3064"/>
    <w:rsid w:val="00AD319A"/>
    <w:rsid w:val="00AD35E9"/>
    <w:rsid w:val="00AD39AE"/>
    <w:rsid w:val="00AD3B78"/>
    <w:rsid w:val="00AD3C90"/>
    <w:rsid w:val="00AD3F1F"/>
    <w:rsid w:val="00AD4135"/>
    <w:rsid w:val="00AD41AA"/>
    <w:rsid w:val="00AD41B7"/>
    <w:rsid w:val="00AD43B9"/>
    <w:rsid w:val="00AD48B1"/>
    <w:rsid w:val="00AD4A20"/>
    <w:rsid w:val="00AD4B6D"/>
    <w:rsid w:val="00AD4B7A"/>
    <w:rsid w:val="00AD4E58"/>
    <w:rsid w:val="00AD5327"/>
    <w:rsid w:val="00AD5576"/>
    <w:rsid w:val="00AD592C"/>
    <w:rsid w:val="00AD5BFA"/>
    <w:rsid w:val="00AD5D3A"/>
    <w:rsid w:val="00AD6156"/>
    <w:rsid w:val="00AD650C"/>
    <w:rsid w:val="00AD67D2"/>
    <w:rsid w:val="00AD68DD"/>
    <w:rsid w:val="00AD6925"/>
    <w:rsid w:val="00AD6A34"/>
    <w:rsid w:val="00AD6EBC"/>
    <w:rsid w:val="00AD759F"/>
    <w:rsid w:val="00AD7960"/>
    <w:rsid w:val="00AD7A01"/>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632"/>
    <w:rsid w:val="00B009BF"/>
    <w:rsid w:val="00B00BAD"/>
    <w:rsid w:val="00B00DC5"/>
    <w:rsid w:val="00B00DCA"/>
    <w:rsid w:val="00B012BD"/>
    <w:rsid w:val="00B01353"/>
    <w:rsid w:val="00B01677"/>
    <w:rsid w:val="00B01739"/>
    <w:rsid w:val="00B01782"/>
    <w:rsid w:val="00B0183F"/>
    <w:rsid w:val="00B0199E"/>
    <w:rsid w:val="00B01ECE"/>
    <w:rsid w:val="00B02548"/>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0A"/>
    <w:rsid w:val="00B07E90"/>
    <w:rsid w:val="00B07EF9"/>
    <w:rsid w:val="00B10137"/>
    <w:rsid w:val="00B10390"/>
    <w:rsid w:val="00B1047C"/>
    <w:rsid w:val="00B10605"/>
    <w:rsid w:val="00B10879"/>
    <w:rsid w:val="00B10BAA"/>
    <w:rsid w:val="00B10F37"/>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BB"/>
    <w:rsid w:val="00B17CA2"/>
    <w:rsid w:val="00B17CB0"/>
    <w:rsid w:val="00B17E2A"/>
    <w:rsid w:val="00B20253"/>
    <w:rsid w:val="00B20706"/>
    <w:rsid w:val="00B208B9"/>
    <w:rsid w:val="00B2106C"/>
    <w:rsid w:val="00B21132"/>
    <w:rsid w:val="00B2144B"/>
    <w:rsid w:val="00B214D8"/>
    <w:rsid w:val="00B217A5"/>
    <w:rsid w:val="00B21A08"/>
    <w:rsid w:val="00B21A93"/>
    <w:rsid w:val="00B21C4B"/>
    <w:rsid w:val="00B21EF3"/>
    <w:rsid w:val="00B22078"/>
    <w:rsid w:val="00B22189"/>
    <w:rsid w:val="00B22604"/>
    <w:rsid w:val="00B2264C"/>
    <w:rsid w:val="00B228D0"/>
    <w:rsid w:val="00B22BDE"/>
    <w:rsid w:val="00B22DE1"/>
    <w:rsid w:val="00B22EF5"/>
    <w:rsid w:val="00B22F08"/>
    <w:rsid w:val="00B230FE"/>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12"/>
    <w:rsid w:val="00B318AB"/>
    <w:rsid w:val="00B318C0"/>
    <w:rsid w:val="00B3194C"/>
    <w:rsid w:val="00B319AF"/>
    <w:rsid w:val="00B31ACE"/>
    <w:rsid w:val="00B31DE6"/>
    <w:rsid w:val="00B31EEF"/>
    <w:rsid w:val="00B325F4"/>
    <w:rsid w:val="00B32AF5"/>
    <w:rsid w:val="00B32AFD"/>
    <w:rsid w:val="00B32D07"/>
    <w:rsid w:val="00B33014"/>
    <w:rsid w:val="00B33100"/>
    <w:rsid w:val="00B331C0"/>
    <w:rsid w:val="00B33272"/>
    <w:rsid w:val="00B333AD"/>
    <w:rsid w:val="00B33484"/>
    <w:rsid w:val="00B3352C"/>
    <w:rsid w:val="00B33638"/>
    <w:rsid w:val="00B338A0"/>
    <w:rsid w:val="00B33AE1"/>
    <w:rsid w:val="00B33DD9"/>
    <w:rsid w:val="00B3401F"/>
    <w:rsid w:val="00B341F5"/>
    <w:rsid w:val="00B34278"/>
    <w:rsid w:val="00B3437E"/>
    <w:rsid w:val="00B343FD"/>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37DB3"/>
    <w:rsid w:val="00B40231"/>
    <w:rsid w:val="00B40594"/>
    <w:rsid w:val="00B40F37"/>
    <w:rsid w:val="00B41407"/>
    <w:rsid w:val="00B414C1"/>
    <w:rsid w:val="00B41952"/>
    <w:rsid w:val="00B41B00"/>
    <w:rsid w:val="00B41B76"/>
    <w:rsid w:val="00B41DEB"/>
    <w:rsid w:val="00B422BD"/>
    <w:rsid w:val="00B425C0"/>
    <w:rsid w:val="00B42826"/>
    <w:rsid w:val="00B42E03"/>
    <w:rsid w:val="00B42F99"/>
    <w:rsid w:val="00B432DE"/>
    <w:rsid w:val="00B43800"/>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3C"/>
    <w:rsid w:val="00B46969"/>
    <w:rsid w:val="00B4698E"/>
    <w:rsid w:val="00B46A45"/>
    <w:rsid w:val="00B46BF5"/>
    <w:rsid w:val="00B46CA1"/>
    <w:rsid w:val="00B474CC"/>
    <w:rsid w:val="00B47A58"/>
    <w:rsid w:val="00B47C3A"/>
    <w:rsid w:val="00B50163"/>
    <w:rsid w:val="00B5022D"/>
    <w:rsid w:val="00B503AC"/>
    <w:rsid w:val="00B50619"/>
    <w:rsid w:val="00B511D5"/>
    <w:rsid w:val="00B5134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3FCA"/>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6887"/>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80"/>
    <w:rsid w:val="00B705ED"/>
    <w:rsid w:val="00B70760"/>
    <w:rsid w:val="00B7089C"/>
    <w:rsid w:val="00B70A49"/>
    <w:rsid w:val="00B70D1D"/>
    <w:rsid w:val="00B70EC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1E9"/>
    <w:rsid w:val="00B74523"/>
    <w:rsid w:val="00B747EA"/>
    <w:rsid w:val="00B74939"/>
    <w:rsid w:val="00B74D52"/>
    <w:rsid w:val="00B74F8D"/>
    <w:rsid w:val="00B74FB8"/>
    <w:rsid w:val="00B754EC"/>
    <w:rsid w:val="00B7570E"/>
    <w:rsid w:val="00B7625D"/>
    <w:rsid w:val="00B7641F"/>
    <w:rsid w:val="00B76709"/>
    <w:rsid w:val="00B7683C"/>
    <w:rsid w:val="00B768E6"/>
    <w:rsid w:val="00B76A7C"/>
    <w:rsid w:val="00B771CC"/>
    <w:rsid w:val="00B771D9"/>
    <w:rsid w:val="00B7759E"/>
    <w:rsid w:val="00B77760"/>
    <w:rsid w:val="00B779AA"/>
    <w:rsid w:val="00B8001B"/>
    <w:rsid w:val="00B80065"/>
    <w:rsid w:val="00B80206"/>
    <w:rsid w:val="00B8036B"/>
    <w:rsid w:val="00B80412"/>
    <w:rsid w:val="00B80453"/>
    <w:rsid w:val="00B8063A"/>
    <w:rsid w:val="00B81037"/>
    <w:rsid w:val="00B812D4"/>
    <w:rsid w:val="00B8130E"/>
    <w:rsid w:val="00B816AB"/>
    <w:rsid w:val="00B81AFF"/>
    <w:rsid w:val="00B81E2B"/>
    <w:rsid w:val="00B81E4F"/>
    <w:rsid w:val="00B81F7E"/>
    <w:rsid w:val="00B81FE0"/>
    <w:rsid w:val="00B8256F"/>
    <w:rsid w:val="00B82628"/>
    <w:rsid w:val="00B826CB"/>
    <w:rsid w:val="00B827ED"/>
    <w:rsid w:val="00B82A0E"/>
    <w:rsid w:val="00B82A68"/>
    <w:rsid w:val="00B82B2D"/>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DCB"/>
    <w:rsid w:val="00B85077"/>
    <w:rsid w:val="00B8532B"/>
    <w:rsid w:val="00B8599B"/>
    <w:rsid w:val="00B85C29"/>
    <w:rsid w:val="00B85E8C"/>
    <w:rsid w:val="00B85F86"/>
    <w:rsid w:val="00B85F8C"/>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417"/>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C0"/>
    <w:rsid w:val="00B977E5"/>
    <w:rsid w:val="00B97858"/>
    <w:rsid w:val="00B9790F"/>
    <w:rsid w:val="00B97A33"/>
    <w:rsid w:val="00B97DEB"/>
    <w:rsid w:val="00B97E5F"/>
    <w:rsid w:val="00B97EA1"/>
    <w:rsid w:val="00B97FD2"/>
    <w:rsid w:val="00BA00AE"/>
    <w:rsid w:val="00BA0342"/>
    <w:rsid w:val="00BA063A"/>
    <w:rsid w:val="00BA0CDF"/>
    <w:rsid w:val="00BA0F42"/>
    <w:rsid w:val="00BA0F4E"/>
    <w:rsid w:val="00BA12D9"/>
    <w:rsid w:val="00BA1447"/>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9FC"/>
    <w:rsid w:val="00BA5C6F"/>
    <w:rsid w:val="00BA5CCB"/>
    <w:rsid w:val="00BA655B"/>
    <w:rsid w:val="00BA664B"/>
    <w:rsid w:val="00BA6E4D"/>
    <w:rsid w:val="00BA740A"/>
    <w:rsid w:val="00BA76C1"/>
    <w:rsid w:val="00BA79D8"/>
    <w:rsid w:val="00BB0994"/>
    <w:rsid w:val="00BB0D49"/>
    <w:rsid w:val="00BB0D6A"/>
    <w:rsid w:val="00BB0E44"/>
    <w:rsid w:val="00BB0FF2"/>
    <w:rsid w:val="00BB1156"/>
    <w:rsid w:val="00BB12C0"/>
    <w:rsid w:val="00BB12D6"/>
    <w:rsid w:val="00BB1480"/>
    <w:rsid w:val="00BB16BA"/>
    <w:rsid w:val="00BB1818"/>
    <w:rsid w:val="00BB184A"/>
    <w:rsid w:val="00BB1984"/>
    <w:rsid w:val="00BB1DD1"/>
    <w:rsid w:val="00BB2773"/>
    <w:rsid w:val="00BB2899"/>
    <w:rsid w:val="00BB2AEF"/>
    <w:rsid w:val="00BB3241"/>
    <w:rsid w:val="00BB32EF"/>
    <w:rsid w:val="00BB3318"/>
    <w:rsid w:val="00BB389E"/>
    <w:rsid w:val="00BB3B2B"/>
    <w:rsid w:val="00BB3E22"/>
    <w:rsid w:val="00BB3E58"/>
    <w:rsid w:val="00BB4211"/>
    <w:rsid w:val="00BB4232"/>
    <w:rsid w:val="00BB4274"/>
    <w:rsid w:val="00BB43F3"/>
    <w:rsid w:val="00BB442F"/>
    <w:rsid w:val="00BB4A4B"/>
    <w:rsid w:val="00BB4AE6"/>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7061"/>
    <w:rsid w:val="00BB7626"/>
    <w:rsid w:val="00BB78C6"/>
    <w:rsid w:val="00BB7AD4"/>
    <w:rsid w:val="00BB7B61"/>
    <w:rsid w:val="00BB7BB8"/>
    <w:rsid w:val="00BB7F89"/>
    <w:rsid w:val="00BB7FBE"/>
    <w:rsid w:val="00BC0583"/>
    <w:rsid w:val="00BC05AB"/>
    <w:rsid w:val="00BC0F38"/>
    <w:rsid w:val="00BC1373"/>
    <w:rsid w:val="00BC1451"/>
    <w:rsid w:val="00BC156C"/>
    <w:rsid w:val="00BC15B8"/>
    <w:rsid w:val="00BC15D8"/>
    <w:rsid w:val="00BC16FC"/>
    <w:rsid w:val="00BC1A91"/>
    <w:rsid w:val="00BC1EDA"/>
    <w:rsid w:val="00BC1FED"/>
    <w:rsid w:val="00BC21FD"/>
    <w:rsid w:val="00BC2374"/>
    <w:rsid w:val="00BC237E"/>
    <w:rsid w:val="00BC25AA"/>
    <w:rsid w:val="00BC2CEE"/>
    <w:rsid w:val="00BC2EE2"/>
    <w:rsid w:val="00BC307D"/>
    <w:rsid w:val="00BC3262"/>
    <w:rsid w:val="00BC3335"/>
    <w:rsid w:val="00BC3495"/>
    <w:rsid w:val="00BC38B2"/>
    <w:rsid w:val="00BC3B66"/>
    <w:rsid w:val="00BC3FCC"/>
    <w:rsid w:val="00BC411B"/>
    <w:rsid w:val="00BC4404"/>
    <w:rsid w:val="00BC4495"/>
    <w:rsid w:val="00BC4528"/>
    <w:rsid w:val="00BC4AE2"/>
    <w:rsid w:val="00BC4AE8"/>
    <w:rsid w:val="00BC5072"/>
    <w:rsid w:val="00BC54BD"/>
    <w:rsid w:val="00BC5568"/>
    <w:rsid w:val="00BC5733"/>
    <w:rsid w:val="00BC5B66"/>
    <w:rsid w:val="00BC5BB5"/>
    <w:rsid w:val="00BC5D9A"/>
    <w:rsid w:val="00BC6030"/>
    <w:rsid w:val="00BC61C7"/>
    <w:rsid w:val="00BC6240"/>
    <w:rsid w:val="00BC6482"/>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DBD"/>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431"/>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A0F"/>
    <w:rsid w:val="00BE1BBC"/>
    <w:rsid w:val="00BE24F1"/>
    <w:rsid w:val="00BE274D"/>
    <w:rsid w:val="00BE29A4"/>
    <w:rsid w:val="00BE29CA"/>
    <w:rsid w:val="00BE2A39"/>
    <w:rsid w:val="00BE2BD8"/>
    <w:rsid w:val="00BE2F83"/>
    <w:rsid w:val="00BE368D"/>
    <w:rsid w:val="00BE3C31"/>
    <w:rsid w:val="00BE3D42"/>
    <w:rsid w:val="00BE3D8A"/>
    <w:rsid w:val="00BE3E73"/>
    <w:rsid w:val="00BE418A"/>
    <w:rsid w:val="00BE42B5"/>
    <w:rsid w:val="00BE4355"/>
    <w:rsid w:val="00BE440D"/>
    <w:rsid w:val="00BE464C"/>
    <w:rsid w:val="00BE4751"/>
    <w:rsid w:val="00BE4932"/>
    <w:rsid w:val="00BE49CA"/>
    <w:rsid w:val="00BE4AD8"/>
    <w:rsid w:val="00BE4B25"/>
    <w:rsid w:val="00BE4CBB"/>
    <w:rsid w:val="00BE4DE8"/>
    <w:rsid w:val="00BE4EBD"/>
    <w:rsid w:val="00BE50CE"/>
    <w:rsid w:val="00BE525F"/>
    <w:rsid w:val="00BE55F9"/>
    <w:rsid w:val="00BE5625"/>
    <w:rsid w:val="00BE5653"/>
    <w:rsid w:val="00BE59D4"/>
    <w:rsid w:val="00BE5E30"/>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BDB"/>
    <w:rsid w:val="00BF1FA5"/>
    <w:rsid w:val="00BF22B5"/>
    <w:rsid w:val="00BF24C6"/>
    <w:rsid w:val="00BF2649"/>
    <w:rsid w:val="00BF2CE7"/>
    <w:rsid w:val="00BF319D"/>
    <w:rsid w:val="00BF3561"/>
    <w:rsid w:val="00BF3600"/>
    <w:rsid w:val="00BF38E2"/>
    <w:rsid w:val="00BF3F12"/>
    <w:rsid w:val="00BF41AD"/>
    <w:rsid w:val="00BF43C3"/>
    <w:rsid w:val="00BF450D"/>
    <w:rsid w:val="00BF4570"/>
    <w:rsid w:val="00BF46D3"/>
    <w:rsid w:val="00BF471E"/>
    <w:rsid w:val="00BF4938"/>
    <w:rsid w:val="00BF4964"/>
    <w:rsid w:val="00BF5294"/>
    <w:rsid w:val="00BF5334"/>
    <w:rsid w:val="00BF5360"/>
    <w:rsid w:val="00BF55F9"/>
    <w:rsid w:val="00BF5606"/>
    <w:rsid w:val="00BF573D"/>
    <w:rsid w:val="00BF5DB2"/>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207F"/>
    <w:rsid w:val="00C02184"/>
    <w:rsid w:val="00C021C7"/>
    <w:rsid w:val="00C02250"/>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D3"/>
    <w:rsid w:val="00C12C29"/>
    <w:rsid w:val="00C131BD"/>
    <w:rsid w:val="00C1341F"/>
    <w:rsid w:val="00C13502"/>
    <w:rsid w:val="00C1376F"/>
    <w:rsid w:val="00C13E65"/>
    <w:rsid w:val="00C141E6"/>
    <w:rsid w:val="00C143D0"/>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A83"/>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6EE"/>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C22"/>
    <w:rsid w:val="00C30D2E"/>
    <w:rsid w:val="00C30DE9"/>
    <w:rsid w:val="00C31021"/>
    <w:rsid w:val="00C31067"/>
    <w:rsid w:val="00C3112D"/>
    <w:rsid w:val="00C31314"/>
    <w:rsid w:val="00C313F1"/>
    <w:rsid w:val="00C3163E"/>
    <w:rsid w:val="00C3169B"/>
    <w:rsid w:val="00C317CE"/>
    <w:rsid w:val="00C31AC3"/>
    <w:rsid w:val="00C31B18"/>
    <w:rsid w:val="00C31C6F"/>
    <w:rsid w:val="00C32231"/>
    <w:rsid w:val="00C322E8"/>
    <w:rsid w:val="00C32335"/>
    <w:rsid w:val="00C32840"/>
    <w:rsid w:val="00C328E8"/>
    <w:rsid w:val="00C32992"/>
    <w:rsid w:val="00C32CE2"/>
    <w:rsid w:val="00C32E5A"/>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9DC"/>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4C0"/>
    <w:rsid w:val="00C436B9"/>
    <w:rsid w:val="00C43742"/>
    <w:rsid w:val="00C43889"/>
    <w:rsid w:val="00C44127"/>
    <w:rsid w:val="00C444DF"/>
    <w:rsid w:val="00C44530"/>
    <w:rsid w:val="00C446C1"/>
    <w:rsid w:val="00C44781"/>
    <w:rsid w:val="00C44823"/>
    <w:rsid w:val="00C44D8F"/>
    <w:rsid w:val="00C44DAD"/>
    <w:rsid w:val="00C44E0F"/>
    <w:rsid w:val="00C44F63"/>
    <w:rsid w:val="00C450E2"/>
    <w:rsid w:val="00C454E7"/>
    <w:rsid w:val="00C45999"/>
    <w:rsid w:val="00C4644F"/>
    <w:rsid w:val="00C46643"/>
    <w:rsid w:val="00C46A45"/>
    <w:rsid w:val="00C46E30"/>
    <w:rsid w:val="00C47269"/>
    <w:rsid w:val="00C4736F"/>
    <w:rsid w:val="00C473C7"/>
    <w:rsid w:val="00C479F8"/>
    <w:rsid w:val="00C47F4B"/>
    <w:rsid w:val="00C47FC9"/>
    <w:rsid w:val="00C503A7"/>
    <w:rsid w:val="00C5045E"/>
    <w:rsid w:val="00C50750"/>
    <w:rsid w:val="00C508B0"/>
    <w:rsid w:val="00C50B63"/>
    <w:rsid w:val="00C50B9C"/>
    <w:rsid w:val="00C51146"/>
    <w:rsid w:val="00C514C9"/>
    <w:rsid w:val="00C514E3"/>
    <w:rsid w:val="00C517F7"/>
    <w:rsid w:val="00C51B4C"/>
    <w:rsid w:val="00C51D4F"/>
    <w:rsid w:val="00C52254"/>
    <w:rsid w:val="00C5240E"/>
    <w:rsid w:val="00C53540"/>
    <w:rsid w:val="00C53545"/>
    <w:rsid w:val="00C53BDC"/>
    <w:rsid w:val="00C53DA9"/>
    <w:rsid w:val="00C54093"/>
    <w:rsid w:val="00C5427E"/>
    <w:rsid w:val="00C54795"/>
    <w:rsid w:val="00C5482E"/>
    <w:rsid w:val="00C55173"/>
    <w:rsid w:val="00C55403"/>
    <w:rsid w:val="00C5547E"/>
    <w:rsid w:val="00C555B4"/>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57FF2"/>
    <w:rsid w:val="00C6006B"/>
    <w:rsid w:val="00C600C1"/>
    <w:rsid w:val="00C6025A"/>
    <w:rsid w:val="00C6025D"/>
    <w:rsid w:val="00C6032D"/>
    <w:rsid w:val="00C60446"/>
    <w:rsid w:val="00C604A5"/>
    <w:rsid w:val="00C60692"/>
    <w:rsid w:val="00C609F9"/>
    <w:rsid w:val="00C60B33"/>
    <w:rsid w:val="00C61AE0"/>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F85"/>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700AB"/>
    <w:rsid w:val="00C70469"/>
    <w:rsid w:val="00C704F8"/>
    <w:rsid w:val="00C70903"/>
    <w:rsid w:val="00C70970"/>
    <w:rsid w:val="00C70AA2"/>
    <w:rsid w:val="00C70ED3"/>
    <w:rsid w:val="00C70FF6"/>
    <w:rsid w:val="00C71033"/>
    <w:rsid w:val="00C71180"/>
    <w:rsid w:val="00C71529"/>
    <w:rsid w:val="00C71677"/>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4E2"/>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9FF"/>
    <w:rsid w:val="00C80BA5"/>
    <w:rsid w:val="00C80CD4"/>
    <w:rsid w:val="00C81034"/>
    <w:rsid w:val="00C81084"/>
    <w:rsid w:val="00C8110B"/>
    <w:rsid w:val="00C81423"/>
    <w:rsid w:val="00C81A34"/>
    <w:rsid w:val="00C81F78"/>
    <w:rsid w:val="00C81F7B"/>
    <w:rsid w:val="00C82071"/>
    <w:rsid w:val="00C82082"/>
    <w:rsid w:val="00C82254"/>
    <w:rsid w:val="00C822CF"/>
    <w:rsid w:val="00C826DB"/>
    <w:rsid w:val="00C82716"/>
    <w:rsid w:val="00C827DA"/>
    <w:rsid w:val="00C82899"/>
    <w:rsid w:val="00C82956"/>
    <w:rsid w:val="00C82A05"/>
    <w:rsid w:val="00C82DF3"/>
    <w:rsid w:val="00C8376F"/>
    <w:rsid w:val="00C8419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BB"/>
    <w:rsid w:val="00C92CCC"/>
    <w:rsid w:val="00C931A4"/>
    <w:rsid w:val="00C9355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4FA"/>
    <w:rsid w:val="00CA37EB"/>
    <w:rsid w:val="00CA51B8"/>
    <w:rsid w:val="00CA5467"/>
    <w:rsid w:val="00CA5575"/>
    <w:rsid w:val="00CA55A6"/>
    <w:rsid w:val="00CA5855"/>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736"/>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860"/>
    <w:rsid w:val="00CB5E53"/>
    <w:rsid w:val="00CB6A7C"/>
    <w:rsid w:val="00CB6A8A"/>
    <w:rsid w:val="00CB6B73"/>
    <w:rsid w:val="00CB6C98"/>
    <w:rsid w:val="00CB6F6F"/>
    <w:rsid w:val="00CB7458"/>
    <w:rsid w:val="00CB745B"/>
    <w:rsid w:val="00CB757A"/>
    <w:rsid w:val="00CB771D"/>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E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2AC"/>
    <w:rsid w:val="00CC6A3A"/>
    <w:rsid w:val="00CC6CA3"/>
    <w:rsid w:val="00CC72B3"/>
    <w:rsid w:val="00CC76B6"/>
    <w:rsid w:val="00CC788A"/>
    <w:rsid w:val="00CC78E3"/>
    <w:rsid w:val="00CC7954"/>
    <w:rsid w:val="00CC7982"/>
    <w:rsid w:val="00CC7C86"/>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71D"/>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0D7"/>
    <w:rsid w:val="00CE024E"/>
    <w:rsid w:val="00CE05AC"/>
    <w:rsid w:val="00CE06FE"/>
    <w:rsid w:val="00CE0968"/>
    <w:rsid w:val="00CE15C9"/>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6BC"/>
    <w:rsid w:val="00CE6530"/>
    <w:rsid w:val="00CE672B"/>
    <w:rsid w:val="00CE67C1"/>
    <w:rsid w:val="00CE69E2"/>
    <w:rsid w:val="00CE6F97"/>
    <w:rsid w:val="00CE7444"/>
    <w:rsid w:val="00CE788F"/>
    <w:rsid w:val="00CE7991"/>
    <w:rsid w:val="00CE79F7"/>
    <w:rsid w:val="00CE7CD1"/>
    <w:rsid w:val="00CE7F66"/>
    <w:rsid w:val="00CF036F"/>
    <w:rsid w:val="00CF0582"/>
    <w:rsid w:val="00CF0927"/>
    <w:rsid w:val="00CF0CE9"/>
    <w:rsid w:val="00CF11EB"/>
    <w:rsid w:val="00CF17F7"/>
    <w:rsid w:val="00CF1BD3"/>
    <w:rsid w:val="00CF27A6"/>
    <w:rsid w:val="00CF2B98"/>
    <w:rsid w:val="00CF2BD0"/>
    <w:rsid w:val="00CF305A"/>
    <w:rsid w:val="00CF318E"/>
    <w:rsid w:val="00CF31F9"/>
    <w:rsid w:val="00CF3730"/>
    <w:rsid w:val="00CF399A"/>
    <w:rsid w:val="00CF3E45"/>
    <w:rsid w:val="00CF3F93"/>
    <w:rsid w:val="00CF4947"/>
    <w:rsid w:val="00CF4B92"/>
    <w:rsid w:val="00CF4E17"/>
    <w:rsid w:val="00CF5702"/>
    <w:rsid w:val="00CF5A0E"/>
    <w:rsid w:val="00CF5CA9"/>
    <w:rsid w:val="00CF5ED0"/>
    <w:rsid w:val="00CF5F54"/>
    <w:rsid w:val="00CF605F"/>
    <w:rsid w:val="00CF6193"/>
    <w:rsid w:val="00CF63C8"/>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4A64"/>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5DBE"/>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5378"/>
    <w:rsid w:val="00D254BA"/>
    <w:rsid w:val="00D2574E"/>
    <w:rsid w:val="00D25979"/>
    <w:rsid w:val="00D25C90"/>
    <w:rsid w:val="00D25DCF"/>
    <w:rsid w:val="00D25DED"/>
    <w:rsid w:val="00D263BC"/>
    <w:rsid w:val="00D263D4"/>
    <w:rsid w:val="00D266B7"/>
    <w:rsid w:val="00D26F75"/>
    <w:rsid w:val="00D27385"/>
    <w:rsid w:val="00D27FDB"/>
    <w:rsid w:val="00D301C7"/>
    <w:rsid w:val="00D30405"/>
    <w:rsid w:val="00D30418"/>
    <w:rsid w:val="00D304F4"/>
    <w:rsid w:val="00D31013"/>
    <w:rsid w:val="00D3108A"/>
    <w:rsid w:val="00D314B0"/>
    <w:rsid w:val="00D3152F"/>
    <w:rsid w:val="00D317CD"/>
    <w:rsid w:val="00D319CA"/>
    <w:rsid w:val="00D31FEB"/>
    <w:rsid w:val="00D3200A"/>
    <w:rsid w:val="00D322AE"/>
    <w:rsid w:val="00D32391"/>
    <w:rsid w:val="00D32499"/>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C5C"/>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789"/>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5A"/>
    <w:rsid w:val="00D53363"/>
    <w:rsid w:val="00D5370D"/>
    <w:rsid w:val="00D5376C"/>
    <w:rsid w:val="00D5389C"/>
    <w:rsid w:val="00D53B3D"/>
    <w:rsid w:val="00D53CB1"/>
    <w:rsid w:val="00D53E08"/>
    <w:rsid w:val="00D54113"/>
    <w:rsid w:val="00D541FE"/>
    <w:rsid w:val="00D542BB"/>
    <w:rsid w:val="00D542D7"/>
    <w:rsid w:val="00D54627"/>
    <w:rsid w:val="00D5480D"/>
    <w:rsid w:val="00D54853"/>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8B2"/>
    <w:rsid w:val="00D63DBC"/>
    <w:rsid w:val="00D63DCD"/>
    <w:rsid w:val="00D64142"/>
    <w:rsid w:val="00D64531"/>
    <w:rsid w:val="00D647D4"/>
    <w:rsid w:val="00D64FBD"/>
    <w:rsid w:val="00D653C1"/>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BAF"/>
    <w:rsid w:val="00D72EDA"/>
    <w:rsid w:val="00D73461"/>
    <w:rsid w:val="00D73F50"/>
    <w:rsid w:val="00D73F6B"/>
    <w:rsid w:val="00D74766"/>
    <w:rsid w:val="00D7486C"/>
    <w:rsid w:val="00D74A02"/>
    <w:rsid w:val="00D74C66"/>
    <w:rsid w:val="00D74DCC"/>
    <w:rsid w:val="00D75072"/>
    <w:rsid w:val="00D75265"/>
    <w:rsid w:val="00D7531A"/>
    <w:rsid w:val="00D75385"/>
    <w:rsid w:val="00D753C0"/>
    <w:rsid w:val="00D754CD"/>
    <w:rsid w:val="00D7565E"/>
    <w:rsid w:val="00D75795"/>
    <w:rsid w:val="00D75C22"/>
    <w:rsid w:val="00D75CC1"/>
    <w:rsid w:val="00D7615F"/>
    <w:rsid w:val="00D7623A"/>
    <w:rsid w:val="00D76373"/>
    <w:rsid w:val="00D76685"/>
    <w:rsid w:val="00D7670A"/>
    <w:rsid w:val="00D76EE6"/>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70"/>
    <w:rsid w:val="00D82ADA"/>
    <w:rsid w:val="00D82B47"/>
    <w:rsid w:val="00D82EDC"/>
    <w:rsid w:val="00D83326"/>
    <w:rsid w:val="00D8362B"/>
    <w:rsid w:val="00D83656"/>
    <w:rsid w:val="00D83724"/>
    <w:rsid w:val="00D8386C"/>
    <w:rsid w:val="00D83C2C"/>
    <w:rsid w:val="00D842C3"/>
    <w:rsid w:val="00D8442D"/>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0D3B"/>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9C8"/>
    <w:rsid w:val="00DB7B17"/>
    <w:rsid w:val="00DB7F97"/>
    <w:rsid w:val="00DC0790"/>
    <w:rsid w:val="00DC0EE1"/>
    <w:rsid w:val="00DC1379"/>
    <w:rsid w:val="00DC158E"/>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47B"/>
    <w:rsid w:val="00DD45C7"/>
    <w:rsid w:val="00DD47EF"/>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704"/>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8BB"/>
    <w:rsid w:val="00DF52DE"/>
    <w:rsid w:val="00DF53E6"/>
    <w:rsid w:val="00DF55E4"/>
    <w:rsid w:val="00DF58B2"/>
    <w:rsid w:val="00DF5B18"/>
    <w:rsid w:val="00DF5D3F"/>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D90"/>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FDD"/>
    <w:rsid w:val="00E01FFF"/>
    <w:rsid w:val="00E020D3"/>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137"/>
    <w:rsid w:val="00E17917"/>
    <w:rsid w:val="00E17920"/>
    <w:rsid w:val="00E17A3F"/>
    <w:rsid w:val="00E17FBA"/>
    <w:rsid w:val="00E20083"/>
    <w:rsid w:val="00E20464"/>
    <w:rsid w:val="00E204B6"/>
    <w:rsid w:val="00E2053E"/>
    <w:rsid w:val="00E20AF3"/>
    <w:rsid w:val="00E20E66"/>
    <w:rsid w:val="00E20EB3"/>
    <w:rsid w:val="00E21023"/>
    <w:rsid w:val="00E216C8"/>
    <w:rsid w:val="00E21A7C"/>
    <w:rsid w:val="00E21BAB"/>
    <w:rsid w:val="00E21CE1"/>
    <w:rsid w:val="00E21F2D"/>
    <w:rsid w:val="00E22066"/>
    <w:rsid w:val="00E220E6"/>
    <w:rsid w:val="00E22C90"/>
    <w:rsid w:val="00E230F2"/>
    <w:rsid w:val="00E2331E"/>
    <w:rsid w:val="00E23373"/>
    <w:rsid w:val="00E236BE"/>
    <w:rsid w:val="00E2378E"/>
    <w:rsid w:val="00E23BC0"/>
    <w:rsid w:val="00E23E4E"/>
    <w:rsid w:val="00E23EAE"/>
    <w:rsid w:val="00E2414E"/>
    <w:rsid w:val="00E245AD"/>
    <w:rsid w:val="00E24A9A"/>
    <w:rsid w:val="00E24F23"/>
    <w:rsid w:val="00E24FD7"/>
    <w:rsid w:val="00E2500E"/>
    <w:rsid w:val="00E2502B"/>
    <w:rsid w:val="00E253F4"/>
    <w:rsid w:val="00E25635"/>
    <w:rsid w:val="00E25738"/>
    <w:rsid w:val="00E25AC0"/>
    <w:rsid w:val="00E25E0C"/>
    <w:rsid w:val="00E26025"/>
    <w:rsid w:val="00E263A9"/>
    <w:rsid w:val="00E26427"/>
    <w:rsid w:val="00E265C1"/>
    <w:rsid w:val="00E266E2"/>
    <w:rsid w:val="00E26E3A"/>
    <w:rsid w:val="00E270F4"/>
    <w:rsid w:val="00E27446"/>
    <w:rsid w:val="00E300C0"/>
    <w:rsid w:val="00E30135"/>
    <w:rsid w:val="00E301F6"/>
    <w:rsid w:val="00E302FD"/>
    <w:rsid w:val="00E3036E"/>
    <w:rsid w:val="00E3085B"/>
    <w:rsid w:val="00E30E41"/>
    <w:rsid w:val="00E31031"/>
    <w:rsid w:val="00E31063"/>
    <w:rsid w:val="00E313C5"/>
    <w:rsid w:val="00E31430"/>
    <w:rsid w:val="00E3178C"/>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D9D"/>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7EB"/>
    <w:rsid w:val="00E41A0A"/>
    <w:rsid w:val="00E41A6C"/>
    <w:rsid w:val="00E41AF9"/>
    <w:rsid w:val="00E41C0B"/>
    <w:rsid w:val="00E41CFD"/>
    <w:rsid w:val="00E41E69"/>
    <w:rsid w:val="00E41F3B"/>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81E"/>
    <w:rsid w:val="00E51E00"/>
    <w:rsid w:val="00E51E87"/>
    <w:rsid w:val="00E5207F"/>
    <w:rsid w:val="00E520A2"/>
    <w:rsid w:val="00E52401"/>
    <w:rsid w:val="00E5243C"/>
    <w:rsid w:val="00E524CE"/>
    <w:rsid w:val="00E52B35"/>
    <w:rsid w:val="00E53154"/>
    <w:rsid w:val="00E538C3"/>
    <w:rsid w:val="00E538CB"/>
    <w:rsid w:val="00E53ADB"/>
    <w:rsid w:val="00E53C39"/>
    <w:rsid w:val="00E53C75"/>
    <w:rsid w:val="00E53E5A"/>
    <w:rsid w:val="00E53FA9"/>
    <w:rsid w:val="00E54379"/>
    <w:rsid w:val="00E54383"/>
    <w:rsid w:val="00E54BD0"/>
    <w:rsid w:val="00E54D63"/>
    <w:rsid w:val="00E54F3B"/>
    <w:rsid w:val="00E55103"/>
    <w:rsid w:val="00E5559C"/>
    <w:rsid w:val="00E55FA3"/>
    <w:rsid w:val="00E5605D"/>
    <w:rsid w:val="00E563E2"/>
    <w:rsid w:val="00E56B44"/>
    <w:rsid w:val="00E56DE3"/>
    <w:rsid w:val="00E57068"/>
    <w:rsid w:val="00E570E2"/>
    <w:rsid w:val="00E57685"/>
    <w:rsid w:val="00E5775C"/>
    <w:rsid w:val="00E60328"/>
    <w:rsid w:val="00E6038C"/>
    <w:rsid w:val="00E60BE6"/>
    <w:rsid w:val="00E60EF8"/>
    <w:rsid w:val="00E60F72"/>
    <w:rsid w:val="00E61202"/>
    <w:rsid w:val="00E614D2"/>
    <w:rsid w:val="00E61C08"/>
    <w:rsid w:val="00E61FC9"/>
    <w:rsid w:val="00E620C6"/>
    <w:rsid w:val="00E62518"/>
    <w:rsid w:val="00E625DC"/>
    <w:rsid w:val="00E62CA1"/>
    <w:rsid w:val="00E62E7E"/>
    <w:rsid w:val="00E631B7"/>
    <w:rsid w:val="00E634E7"/>
    <w:rsid w:val="00E6359B"/>
    <w:rsid w:val="00E63F97"/>
    <w:rsid w:val="00E64386"/>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6CD8"/>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92E"/>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6CD8"/>
    <w:rsid w:val="00E77009"/>
    <w:rsid w:val="00E7704C"/>
    <w:rsid w:val="00E7717D"/>
    <w:rsid w:val="00E773E3"/>
    <w:rsid w:val="00E7763A"/>
    <w:rsid w:val="00E77762"/>
    <w:rsid w:val="00E779F4"/>
    <w:rsid w:val="00E77F69"/>
    <w:rsid w:val="00E8002B"/>
    <w:rsid w:val="00E80107"/>
    <w:rsid w:val="00E80115"/>
    <w:rsid w:val="00E8013A"/>
    <w:rsid w:val="00E8026C"/>
    <w:rsid w:val="00E802E5"/>
    <w:rsid w:val="00E80335"/>
    <w:rsid w:val="00E8046F"/>
    <w:rsid w:val="00E804A2"/>
    <w:rsid w:val="00E81019"/>
    <w:rsid w:val="00E8167C"/>
    <w:rsid w:val="00E81AE8"/>
    <w:rsid w:val="00E81CD1"/>
    <w:rsid w:val="00E81D06"/>
    <w:rsid w:val="00E81F6B"/>
    <w:rsid w:val="00E8226E"/>
    <w:rsid w:val="00E82433"/>
    <w:rsid w:val="00E82668"/>
    <w:rsid w:val="00E82862"/>
    <w:rsid w:val="00E82FC4"/>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5ED"/>
    <w:rsid w:val="00E91A01"/>
    <w:rsid w:val="00E91A5A"/>
    <w:rsid w:val="00E91C48"/>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4F"/>
    <w:rsid w:val="00E9679C"/>
    <w:rsid w:val="00E972C1"/>
    <w:rsid w:val="00E97435"/>
    <w:rsid w:val="00E97625"/>
    <w:rsid w:val="00E977F2"/>
    <w:rsid w:val="00E97FEA"/>
    <w:rsid w:val="00EA0211"/>
    <w:rsid w:val="00EA053D"/>
    <w:rsid w:val="00EA085E"/>
    <w:rsid w:val="00EA0B32"/>
    <w:rsid w:val="00EA158D"/>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C9D"/>
    <w:rsid w:val="00EA4E01"/>
    <w:rsid w:val="00EA4FA3"/>
    <w:rsid w:val="00EA50A7"/>
    <w:rsid w:val="00EA5801"/>
    <w:rsid w:val="00EA5B0C"/>
    <w:rsid w:val="00EA5E38"/>
    <w:rsid w:val="00EA5F95"/>
    <w:rsid w:val="00EA6365"/>
    <w:rsid w:val="00EA65F4"/>
    <w:rsid w:val="00EA6993"/>
    <w:rsid w:val="00EA69B6"/>
    <w:rsid w:val="00EA6AC5"/>
    <w:rsid w:val="00EA72E7"/>
    <w:rsid w:val="00EA731D"/>
    <w:rsid w:val="00EA7336"/>
    <w:rsid w:val="00EA766E"/>
    <w:rsid w:val="00EA76AC"/>
    <w:rsid w:val="00EA798C"/>
    <w:rsid w:val="00EA7FD9"/>
    <w:rsid w:val="00EB0068"/>
    <w:rsid w:val="00EB04DF"/>
    <w:rsid w:val="00EB05DE"/>
    <w:rsid w:val="00EB0A16"/>
    <w:rsid w:val="00EB0A60"/>
    <w:rsid w:val="00EB0CD8"/>
    <w:rsid w:val="00EB0D1C"/>
    <w:rsid w:val="00EB0EB9"/>
    <w:rsid w:val="00EB0EC5"/>
    <w:rsid w:val="00EB10E5"/>
    <w:rsid w:val="00EB14F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8A9"/>
    <w:rsid w:val="00EC0A27"/>
    <w:rsid w:val="00EC0E1D"/>
    <w:rsid w:val="00EC146A"/>
    <w:rsid w:val="00EC1A33"/>
    <w:rsid w:val="00EC1CBF"/>
    <w:rsid w:val="00EC1FD1"/>
    <w:rsid w:val="00EC22BF"/>
    <w:rsid w:val="00EC2689"/>
    <w:rsid w:val="00EC29CA"/>
    <w:rsid w:val="00EC2C0C"/>
    <w:rsid w:val="00EC2C2E"/>
    <w:rsid w:val="00EC2C77"/>
    <w:rsid w:val="00EC319B"/>
    <w:rsid w:val="00EC31B1"/>
    <w:rsid w:val="00EC353A"/>
    <w:rsid w:val="00EC35BE"/>
    <w:rsid w:val="00EC395F"/>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882"/>
    <w:rsid w:val="00EC6979"/>
    <w:rsid w:val="00EC69BB"/>
    <w:rsid w:val="00EC6B28"/>
    <w:rsid w:val="00EC6B9A"/>
    <w:rsid w:val="00EC6BC1"/>
    <w:rsid w:val="00EC6CDC"/>
    <w:rsid w:val="00EC6F0C"/>
    <w:rsid w:val="00EC73D6"/>
    <w:rsid w:val="00EC7566"/>
    <w:rsid w:val="00EC7967"/>
    <w:rsid w:val="00EC7BCF"/>
    <w:rsid w:val="00EC7DA0"/>
    <w:rsid w:val="00EC7E6A"/>
    <w:rsid w:val="00ED0051"/>
    <w:rsid w:val="00ED01D9"/>
    <w:rsid w:val="00ED0341"/>
    <w:rsid w:val="00ED05EB"/>
    <w:rsid w:val="00ED0876"/>
    <w:rsid w:val="00ED08D7"/>
    <w:rsid w:val="00ED0A80"/>
    <w:rsid w:val="00ED0B3A"/>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CC5"/>
    <w:rsid w:val="00ED4E78"/>
    <w:rsid w:val="00ED4EE7"/>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04C"/>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28"/>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8DA"/>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C7"/>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2D54"/>
    <w:rsid w:val="00F12EED"/>
    <w:rsid w:val="00F1338D"/>
    <w:rsid w:val="00F133DD"/>
    <w:rsid w:val="00F13A00"/>
    <w:rsid w:val="00F13AAF"/>
    <w:rsid w:val="00F13BA6"/>
    <w:rsid w:val="00F13D81"/>
    <w:rsid w:val="00F13E9C"/>
    <w:rsid w:val="00F140B7"/>
    <w:rsid w:val="00F14408"/>
    <w:rsid w:val="00F14574"/>
    <w:rsid w:val="00F14998"/>
    <w:rsid w:val="00F14C51"/>
    <w:rsid w:val="00F150EE"/>
    <w:rsid w:val="00F152EF"/>
    <w:rsid w:val="00F1536A"/>
    <w:rsid w:val="00F15749"/>
    <w:rsid w:val="00F158C0"/>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C9F"/>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89"/>
    <w:rsid w:val="00F252D6"/>
    <w:rsid w:val="00F25799"/>
    <w:rsid w:val="00F25BC1"/>
    <w:rsid w:val="00F25E78"/>
    <w:rsid w:val="00F25E81"/>
    <w:rsid w:val="00F26064"/>
    <w:rsid w:val="00F260DA"/>
    <w:rsid w:val="00F2619E"/>
    <w:rsid w:val="00F261B0"/>
    <w:rsid w:val="00F2632B"/>
    <w:rsid w:val="00F26583"/>
    <w:rsid w:val="00F27183"/>
    <w:rsid w:val="00F27193"/>
    <w:rsid w:val="00F27236"/>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EAA"/>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9EC"/>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96"/>
    <w:rsid w:val="00F541D2"/>
    <w:rsid w:val="00F54358"/>
    <w:rsid w:val="00F546E2"/>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864"/>
    <w:rsid w:val="00F56A32"/>
    <w:rsid w:val="00F56AE8"/>
    <w:rsid w:val="00F56C9B"/>
    <w:rsid w:val="00F56F77"/>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3D"/>
    <w:rsid w:val="00F61B63"/>
    <w:rsid w:val="00F61C44"/>
    <w:rsid w:val="00F61DBA"/>
    <w:rsid w:val="00F61EA8"/>
    <w:rsid w:val="00F6211F"/>
    <w:rsid w:val="00F62135"/>
    <w:rsid w:val="00F621FA"/>
    <w:rsid w:val="00F621FD"/>
    <w:rsid w:val="00F623D0"/>
    <w:rsid w:val="00F62727"/>
    <w:rsid w:val="00F6281B"/>
    <w:rsid w:val="00F628ED"/>
    <w:rsid w:val="00F62B4F"/>
    <w:rsid w:val="00F62D7A"/>
    <w:rsid w:val="00F62EA3"/>
    <w:rsid w:val="00F635D2"/>
    <w:rsid w:val="00F63796"/>
    <w:rsid w:val="00F63A62"/>
    <w:rsid w:val="00F63B8F"/>
    <w:rsid w:val="00F63E39"/>
    <w:rsid w:val="00F63E9C"/>
    <w:rsid w:val="00F63FC0"/>
    <w:rsid w:val="00F642EC"/>
    <w:rsid w:val="00F64939"/>
    <w:rsid w:val="00F6497B"/>
    <w:rsid w:val="00F64DF5"/>
    <w:rsid w:val="00F651B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9C0"/>
    <w:rsid w:val="00F75D1F"/>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28"/>
    <w:rsid w:val="00F9038B"/>
    <w:rsid w:val="00F903B2"/>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B0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2D"/>
    <w:rsid w:val="00FA0734"/>
    <w:rsid w:val="00FA0766"/>
    <w:rsid w:val="00FA0AA3"/>
    <w:rsid w:val="00FA0F4B"/>
    <w:rsid w:val="00FA1226"/>
    <w:rsid w:val="00FA13E2"/>
    <w:rsid w:val="00FA1B7A"/>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E10"/>
    <w:rsid w:val="00FC1F88"/>
    <w:rsid w:val="00FC217F"/>
    <w:rsid w:val="00FC22C3"/>
    <w:rsid w:val="00FC24B0"/>
    <w:rsid w:val="00FC3115"/>
    <w:rsid w:val="00FC3418"/>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D7D"/>
    <w:rsid w:val="00FD0E89"/>
    <w:rsid w:val="00FD0EF4"/>
    <w:rsid w:val="00FD10B9"/>
    <w:rsid w:val="00FD1510"/>
    <w:rsid w:val="00FD16ED"/>
    <w:rsid w:val="00FD171D"/>
    <w:rsid w:val="00FD1CD1"/>
    <w:rsid w:val="00FD1DF2"/>
    <w:rsid w:val="00FD2524"/>
    <w:rsid w:val="00FD2C14"/>
    <w:rsid w:val="00FD30C7"/>
    <w:rsid w:val="00FD326A"/>
    <w:rsid w:val="00FD3291"/>
    <w:rsid w:val="00FD3355"/>
    <w:rsid w:val="00FD342F"/>
    <w:rsid w:val="00FD34AF"/>
    <w:rsid w:val="00FD3684"/>
    <w:rsid w:val="00FD36EB"/>
    <w:rsid w:val="00FD371B"/>
    <w:rsid w:val="00FD3B08"/>
    <w:rsid w:val="00FD4513"/>
    <w:rsid w:val="00FD47F6"/>
    <w:rsid w:val="00FD4910"/>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711"/>
    <w:rsid w:val="00FD7DC7"/>
    <w:rsid w:val="00FE03AB"/>
    <w:rsid w:val="00FE0566"/>
    <w:rsid w:val="00FE05C8"/>
    <w:rsid w:val="00FE0629"/>
    <w:rsid w:val="00FE068C"/>
    <w:rsid w:val="00FE099F"/>
    <w:rsid w:val="00FE0A20"/>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40BB"/>
    <w:rsid w:val="00FE41E5"/>
    <w:rsid w:val="00FE4474"/>
    <w:rsid w:val="00FE451A"/>
    <w:rsid w:val="00FE477A"/>
    <w:rsid w:val="00FE494B"/>
    <w:rsid w:val="00FE4AF9"/>
    <w:rsid w:val="00FE4B0E"/>
    <w:rsid w:val="00FE4EE7"/>
    <w:rsid w:val="00FE4FB6"/>
    <w:rsid w:val="00FE5111"/>
    <w:rsid w:val="00FE546D"/>
    <w:rsid w:val="00FE579B"/>
    <w:rsid w:val="00FE59AC"/>
    <w:rsid w:val="00FE5F33"/>
    <w:rsid w:val="00FE61C3"/>
    <w:rsid w:val="00FE6341"/>
    <w:rsid w:val="00FE6720"/>
    <w:rsid w:val="00FE6852"/>
    <w:rsid w:val="00FE6F0B"/>
    <w:rsid w:val="00FE7409"/>
    <w:rsid w:val="00FE7523"/>
    <w:rsid w:val="00FE76A1"/>
    <w:rsid w:val="00FE76AF"/>
    <w:rsid w:val="00FE7725"/>
    <w:rsid w:val="00FE773D"/>
    <w:rsid w:val="00FE777F"/>
    <w:rsid w:val="00FE7AB4"/>
    <w:rsid w:val="00FE7AE6"/>
    <w:rsid w:val="00FE7B5A"/>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29"/>
    <w:rsid w:val="00FF2CB8"/>
    <w:rsid w:val="00FF2E77"/>
    <w:rsid w:val="00FF3265"/>
    <w:rsid w:val="00FF3328"/>
    <w:rsid w:val="00FF344C"/>
    <w:rsid w:val="00FF353A"/>
    <w:rsid w:val="00FF36BD"/>
    <w:rsid w:val="00FF3E6C"/>
    <w:rsid w:val="00FF4078"/>
    <w:rsid w:val="00FF440E"/>
    <w:rsid w:val="00FF4473"/>
    <w:rsid w:val="00FF49EE"/>
    <w:rsid w:val="00FF4C64"/>
    <w:rsid w:val="00FF4F26"/>
    <w:rsid w:val="00FF501B"/>
    <w:rsid w:val="00FF50CA"/>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2EE17BD4"/>
    <w:rsid w:val="3F07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0" w:semiHidden="0" w:name="footnote text"/>
    <w:lsdException w:unhideWhenUsed="0" w:uiPriority="99" w:name="annotation text"/>
    <w:lsdException w:uiPriority="99" w:semiHidden="0" w:name="header"/>
    <w:lsdException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pPr>
    <w:rPr>
      <w:rFonts w:asciiTheme="minorHAnsi" w:hAnsiTheme="minorHAnsi" w:eastAsiaTheme="minorEastAsia" w:cstheme="minorBidi"/>
      <w:szCs w:val="22"/>
    </w:rPr>
  </w:style>
  <w:style w:type="paragraph" w:styleId="6">
    <w:name w:val="Normal Indent"/>
    <w:basedOn w:val="1"/>
    <w:link w:val="53"/>
    <w:qFormat/>
    <w:uiPriority w:val="0"/>
    <w:pPr>
      <w:spacing w:before="60"/>
      <w:ind w:firstLine="420" w:firstLineChars="200"/>
    </w:pPr>
  </w:style>
  <w:style w:type="paragraph" w:styleId="7">
    <w:name w:val="caption"/>
    <w:basedOn w:val="1"/>
    <w:next w:val="1"/>
    <w:autoRedefine/>
    <w:unhideWhenUsed/>
    <w:qFormat/>
    <w:uiPriority w:val="0"/>
    <w:rPr>
      <w:rFonts w:eastAsia="黑体" w:asciiTheme="majorHAnsi" w:hAnsiTheme="majorHAnsi" w:cstheme="majorBidi"/>
      <w:sz w:val="20"/>
      <w:szCs w:val="20"/>
    </w:rPr>
  </w:style>
  <w:style w:type="paragraph" w:styleId="8">
    <w:name w:val="annotation text"/>
    <w:basedOn w:val="1"/>
    <w:link w:val="41"/>
    <w:semiHidden/>
    <w:uiPriority w:val="99"/>
    <w:pPr>
      <w:jc w:val="left"/>
    </w:pPr>
    <w:rPr>
      <w:szCs w:val="21"/>
    </w:rPr>
  </w:style>
  <w:style w:type="paragraph" w:styleId="9">
    <w:name w:val="toc 5"/>
    <w:basedOn w:val="1"/>
    <w:next w:val="1"/>
    <w:autoRedefine/>
    <w:unhideWhenUsed/>
    <w:uiPriority w:val="39"/>
    <w:pPr>
      <w:ind w:left="1680" w:leftChars="800"/>
    </w:pPr>
    <w:rPr>
      <w:rFonts w:asciiTheme="minorHAnsi" w:hAnsiTheme="minorHAnsi" w:eastAsiaTheme="minorEastAsia" w:cstheme="minorBidi"/>
      <w:szCs w:val="22"/>
    </w:rPr>
  </w:style>
  <w:style w:type="paragraph" w:styleId="10">
    <w:name w:val="toc 3"/>
    <w:basedOn w:val="1"/>
    <w:next w:val="1"/>
    <w:autoRedefine/>
    <w:unhideWhenUsed/>
    <w:uiPriority w:val="39"/>
    <w:pPr>
      <w:ind w:left="840" w:leftChars="400"/>
    </w:pPr>
  </w:style>
  <w:style w:type="paragraph" w:styleId="11">
    <w:name w:val="toc 8"/>
    <w:basedOn w:val="1"/>
    <w:next w:val="1"/>
    <w:autoRedefine/>
    <w:unhideWhenUsed/>
    <w:uiPriority w:val="39"/>
    <w:pPr>
      <w:ind w:left="2940" w:leftChars="1400"/>
    </w:pPr>
    <w:rPr>
      <w:rFonts w:asciiTheme="minorHAnsi" w:hAnsiTheme="minorHAnsi" w:eastAsiaTheme="minorEastAsia" w:cstheme="minorBidi"/>
      <w:szCs w:val="22"/>
    </w:rPr>
  </w:style>
  <w:style w:type="paragraph" w:styleId="12">
    <w:name w:val="Balloon Text"/>
    <w:basedOn w:val="1"/>
    <w:link w:val="40"/>
    <w:unhideWhenUsed/>
    <w:uiPriority w:val="99"/>
    <w:rPr>
      <w:sz w:val="18"/>
      <w:szCs w:val="18"/>
    </w:rPr>
  </w:style>
  <w:style w:type="paragraph" w:styleId="13">
    <w:name w:val="footer"/>
    <w:basedOn w:val="1"/>
    <w:link w:val="39"/>
    <w:unhideWhenUsed/>
    <w:uiPriority w:val="99"/>
    <w:pPr>
      <w:tabs>
        <w:tab w:val="center" w:pos="4153"/>
        <w:tab w:val="right" w:pos="8306"/>
      </w:tabs>
      <w:snapToGrid w:val="0"/>
      <w:jc w:val="left"/>
    </w:pPr>
    <w:rPr>
      <w:rFonts w:ascii="Calibri" w:hAnsi="Calibri" w:cs="黑体"/>
      <w:sz w:val="18"/>
      <w:szCs w:val="18"/>
    </w:rPr>
  </w:style>
  <w:style w:type="paragraph" w:styleId="14">
    <w:name w:val="header"/>
    <w:basedOn w:val="1"/>
    <w:link w:val="38"/>
    <w:unhideWhenUsed/>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5">
    <w:name w:val="toc 1"/>
    <w:basedOn w:val="1"/>
    <w:next w:val="1"/>
    <w:autoRedefine/>
    <w:unhideWhenUsed/>
    <w:uiPriority w:val="39"/>
    <w:pPr>
      <w:tabs>
        <w:tab w:val="right" w:leader="dot" w:pos="8778"/>
      </w:tabs>
    </w:pPr>
  </w:style>
  <w:style w:type="paragraph" w:styleId="16">
    <w:name w:val="toc 4"/>
    <w:basedOn w:val="1"/>
    <w:next w:val="1"/>
    <w:autoRedefine/>
    <w:unhideWhenUsed/>
    <w:uiPriority w:val="39"/>
    <w:pPr>
      <w:ind w:left="1260" w:leftChars="600"/>
    </w:pPr>
  </w:style>
  <w:style w:type="paragraph" w:styleId="17">
    <w:name w:val="footnote text"/>
    <w:basedOn w:val="1"/>
    <w:link w:val="54"/>
    <w:unhideWhenUsed/>
    <w:uiPriority w:val="0"/>
    <w:pPr>
      <w:adjustRightInd w:val="0"/>
      <w:snapToGrid w:val="0"/>
      <w:spacing w:line="264" w:lineRule="auto"/>
      <w:jc w:val="left"/>
    </w:pPr>
    <w:rPr>
      <w:rFonts w:eastAsia="仿宋_GB2312"/>
      <w:snapToGrid w:val="0"/>
      <w:kern w:val="0"/>
      <w:sz w:val="18"/>
      <w:szCs w:val="18"/>
    </w:rPr>
  </w:style>
  <w:style w:type="paragraph" w:styleId="18">
    <w:name w:val="toc 6"/>
    <w:basedOn w:val="1"/>
    <w:next w:val="1"/>
    <w:autoRedefine/>
    <w:unhideWhenUsed/>
    <w:uiPriority w:val="39"/>
    <w:pPr>
      <w:ind w:left="2100" w:leftChars="1000"/>
    </w:pPr>
    <w:rPr>
      <w:rFonts w:asciiTheme="minorHAnsi" w:hAnsiTheme="minorHAnsi" w:eastAsiaTheme="minorEastAsia" w:cstheme="minorBidi"/>
      <w:szCs w:val="22"/>
    </w:rPr>
  </w:style>
  <w:style w:type="paragraph" w:styleId="19">
    <w:name w:val="toc 2"/>
    <w:basedOn w:val="1"/>
    <w:next w:val="1"/>
    <w:autoRedefine/>
    <w:unhideWhenUsed/>
    <w:uiPriority w:val="39"/>
    <w:pPr>
      <w:ind w:left="420" w:leftChars="200"/>
    </w:pPr>
  </w:style>
  <w:style w:type="paragraph" w:styleId="20">
    <w:name w:val="toc 9"/>
    <w:basedOn w:val="1"/>
    <w:next w:val="1"/>
    <w:autoRedefine/>
    <w:unhideWhenUsed/>
    <w:uiPriority w:val="39"/>
    <w:pPr>
      <w:ind w:left="3360" w:leftChars="1600"/>
    </w:pPr>
    <w:rPr>
      <w:rFonts w:asciiTheme="minorHAnsi" w:hAnsiTheme="minorHAnsi" w:eastAsiaTheme="minorEastAsia" w:cstheme="minorBidi"/>
      <w:szCs w:val="22"/>
    </w:rPr>
  </w:style>
  <w:style w:type="paragraph" w:styleId="21">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42"/>
    <w:autoRedefine/>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8"/>
    <w:next w:val="8"/>
    <w:link w:val="50"/>
    <w:semiHidden/>
    <w:unhideWhenUsed/>
    <w:uiPriority w:val="0"/>
    <w:rPr>
      <w:b/>
      <w:bCs/>
      <w:szCs w:val="24"/>
    </w:rPr>
  </w:style>
  <w:style w:type="table" w:styleId="25">
    <w:name w:val="Table Grid"/>
    <w:basedOn w:val="2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uiPriority w:val="0"/>
    <w:rPr>
      <w:color w:val="800080" w:themeColor="followedHyperlink"/>
      <w:u w:val="single"/>
      <w14:textFill>
        <w14:solidFill>
          <w14:schemeClr w14:val="folHlink"/>
        </w14:solidFill>
      </w14:textFill>
    </w:rPr>
  </w:style>
  <w:style w:type="character" w:styleId="29">
    <w:name w:val="Emphasis"/>
    <w:qFormat/>
    <w:uiPriority w:val="20"/>
    <w:rPr>
      <w:color w:val="CC0000"/>
    </w:rPr>
  </w:style>
  <w:style w:type="character" w:styleId="30">
    <w:name w:val="line number"/>
    <w:basedOn w:val="26"/>
    <w:semiHidden/>
    <w:unhideWhenUsed/>
    <w:uiPriority w:val="0"/>
  </w:style>
  <w:style w:type="character" w:styleId="31">
    <w:name w:val="Hyperlink"/>
    <w:basedOn w:val="26"/>
    <w:autoRedefine/>
    <w:unhideWhenUsed/>
    <w:qFormat/>
    <w:uiPriority w:val="99"/>
    <w:rPr>
      <w:color w:val="0000FF"/>
      <w:u w:val="single"/>
    </w:rPr>
  </w:style>
  <w:style w:type="character" w:styleId="32">
    <w:name w:val="annotation reference"/>
    <w:semiHidden/>
    <w:unhideWhenUsed/>
    <w:uiPriority w:val="0"/>
    <w:rPr>
      <w:sz w:val="21"/>
      <w:szCs w:val="21"/>
    </w:rPr>
  </w:style>
  <w:style w:type="character" w:styleId="33">
    <w:name w:val="footnote reference"/>
    <w:basedOn w:val="26"/>
    <w:semiHidden/>
    <w:unhideWhenUsed/>
    <w:uiPriority w:val="0"/>
    <w:rPr>
      <w:vertAlign w:val="superscript"/>
    </w:rPr>
  </w:style>
  <w:style w:type="paragraph" w:customStyle="1" w:styleId="34">
    <w:name w:val="字母编号列项（一级）"/>
    <w:uiPriority w:val="99"/>
    <w:pPr>
      <w:ind w:left="840" w:leftChars="200" w:hanging="420" w:hangingChars="200"/>
      <w:jc w:val="both"/>
    </w:pPr>
    <w:rPr>
      <w:rFonts w:ascii="宋体" w:hAnsi="Times New Roman" w:eastAsia="宋体" w:cs="宋体"/>
      <w:lang w:val="en-US" w:eastAsia="zh-CN" w:bidi="ar-SA"/>
    </w:rPr>
  </w:style>
  <w:style w:type="paragraph" w:customStyle="1" w:styleId="35">
    <w:name w:val="Default"/>
    <w:autoRedefine/>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列出段落1"/>
    <w:basedOn w:val="1"/>
    <w:qFormat/>
    <w:uiPriority w:val="34"/>
    <w:pPr>
      <w:ind w:firstLine="420" w:firstLineChars="200"/>
    </w:pPr>
  </w:style>
  <w:style w:type="character" w:customStyle="1" w:styleId="38">
    <w:name w:val="页眉 字符"/>
    <w:basedOn w:val="26"/>
    <w:link w:val="14"/>
    <w:qFormat/>
    <w:uiPriority w:val="99"/>
    <w:rPr>
      <w:sz w:val="18"/>
      <w:szCs w:val="18"/>
    </w:rPr>
  </w:style>
  <w:style w:type="character" w:customStyle="1" w:styleId="39">
    <w:name w:val="页脚 字符"/>
    <w:basedOn w:val="26"/>
    <w:link w:val="13"/>
    <w:uiPriority w:val="99"/>
    <w:rPr>
      <w:sz w:val="18"/>
      <w:szCs w:val="18"/>
    </w:rPr>
  </w:style>
  <w:style w:type="character" w:customStyle="1" w:styleId="40">
    <w:name w:val="批注框文本 字符"/>
    <w:basedOn w:val="26"/>
    <w:link w:val="12"/>
    <w:autoRedefine/>
    <w:semiHidden/>
    <w:qFormat/>
    <w:uiPriority w:val="99"/>
    <w:rPr>
      <w:rFonts w:ascii="Times New Roman" w:hAnsi="Times New Roman" w:eastAsia="宋体" w:cs="Times New Roman"/>
      <w:sz w:val="18"/>
      <w:szCs w:val="18"/>
    </w:rPr>
  </w:style>
  <w:style w:type="character" w:customStyle="1" w:styleId="41">
    <w:name w:val="批注文字 字符"/>
    <w:basedOn w:val="26"/>
    <w:link w:val="8"/>
    <w:uiPriority w:val="99"/>
    <w:rPr>
      <w:kern w:val="2"/>
      <w:sz w:val="21"/>
      <w:szCs w:val="21"/>
    </w:rPr>
  </w:style>
  <w:style w:type="character" w:customStyle="1" w:styleId="42">
    <w:name w:val="标题 字符"/>
    <w:basedOn w:val="26"/>
    <w:link w:val="22"/>
    <w:uiPriority w:val="10"/>
    <w:rPr>
      <w:rFonts w:asciiTheme="majorHAnsi" w:hAnsiTheme="majorHAnsi" w:cstheme="majorBidi"/>
      <w:b/>
      <w:bCs/>
      <w:kern w:val="2"/>
      <w:sz w:val="32"/>
      <w:szCs w:val="32"/>
    </w:rPr>
  </w:style>
  <w:style w:type="character" w:customStyle="1" w:styleId="43">
    <w:name w:val="标题 1 字符"/>
    <w:basedOn w:val="26"/>
    <w:link w:val="2"/>
    <w:uiPriority w:val="9"/>
    <w:rPr>
      <w:b/>
      <w:bCs/>
      <w:kern w:val="44"/>
      <w:sz w:val="44"/>
      <w:szCs w:val="44"/>
    </w:rPr>
  </w:style>
  <w:style w:type="character" w:customStyle="1" w:styleId="44">
    <w:name w:val="标题 2 字符"/>
    <w:basedOn w:val="26"/>
    <w:link w:val="3"/>
    <w:autoRedefine/>
    <w:qFormat/>
    <w:uiPriority w:val="9"/>
    <w:rPr>
      <w:rFonts w:asciiTheme="majorHAnsi" w:hAnsiTheme="majorHAnsi" w:eastAsiaTheme="majorEastAsia" w:cstheme="majorBidi"/>
      <w:b/>
      <w:bCs/>
      <w:kern w:val="2"/>
      <w:sz w:val="32"/>
      <w:szCs w:val="32"/>
    </w:rPr>
  </w:style>
  <w:style w:type="character" w:styleId="45">
    <w:name w:val="Placeholder Text"/>
    <w:basedOn w:val="26"/>
    <w:autoRedefine/>
    <w:unhideWhenUsed/>
    <w:qFormat/>
    <w:uiPriority w:val="99"/>
    <w:rPr>
      <w:color w:val="808080"/>
    </w:rPr>
  </w:style>
  <w:style w:type="paragraph" w:customStyle="1" w:styleId="4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apple-converted-space"/>
    <w:uiPriority w:val="0"/>
  </w:style>
  <w:style w:type="paragraph" w:styleId="48">
    <w:name w:val="List Paragraph"/>
    <w:basedOn w:val="1"/>
    <w:unhideWhenUsed/>
    <w:qFormat/>
    <w:uiPriority w:val="0"/>
    <w:pPr>
      <w:ind w:firstLine="420" w:firstLineChars="200"/>
    </w:pPr>
  </w:style>
  <w:style w:type="paragraph" w:customStyle="1" w:styleId="49">
    <w:name w:val="正文 A A"/>
    <w:uiPriority w:val="99"/>
    <w:pPr>
      <w:widowControl w:val="0"/>
      <w:jc w:val="both"/>
    </w:pPr>
    <w:rPr>
      <w:rFonts w:ascii="Times New Roman" w:hAnsi="Times New Roman" w:eastAsia="宋体" w:cs="Times New Roman"/>
      <w:color w:val="000000"/>
      <w:kern w:val="2"/>
      <w:sz w:val="21"/>
      <w:lang w:val="en-US" w:eastAsia="zh-CN" w:bidi="ar-SA"/>
    </w:rPr>
  </w:style>
  <w:style w:type="character" w:customStyle="1" w:styleId="50">
    <w:name w:val="批注主题 字符"/>
    <w:basedOn w:val="41"/>
    <w:link w:val="23"/>
    <w:semiHidden/>
    <w:uiPriority w:val="0"/>
    <w:rPr>
      <w:b/>
      <w:bCs/>
      <w:kern w:val="2"/>
      <w:sz w:val="21"/>
      <w:szCs w:val="24"/>
    </w:rPr>
  </w:style>
  <w:style w:type="character" w:customStyle="1" w:styleId="51">
    <w:name w:val="标题 3 字符"/>
    <w:basedOn w:val="26"/>
    <w:link w:val="4"/>
    <w:semiHidden/>
    <w:uiPriority w:val="9"/>
    <w:rPr>
      <w:b/>
      <w:bCs/>
      <w:kern w:val="2"/>
      <w:sz w:val="32"/>
      <w:szCs w:val="32"/>
    </w:rPr>
  </w:style>
  <w:style w:type="character" w:customStyle="1" w:styleId="52">
    <w:name w:val="Unresolved Mention"/>
    <w:basedOn w:val="26"/>
    <w:semiHidden/>
    <w:unhideWhenUsed/>
    <w:uiPriority w:val="99"/>
    <w:rPr>
      <w:color w:val="605E5C"/>
      <w:shd w:val="clear" w:color="auto" w:fill="E1DFDD"/>
    </w:rPr>
  </w:style>
  <w:style w:type="character" w:customStyle="1" w:styleId="53">
    <w:name w:val="正文缩进 字符"/>
    <w:link w:val="6"/>
    <w:qFormat/>
    <w:uiPriority w:val="0"/>
    <w:rPr>
      <w:kern w:val="2"/>
      <w:sz w:val="21"/>
      <w:szCs w:val="24"/>
    </w:rPr>
  </w:style>
  <w:style w:type="character" w:customStyle="1" w:styleId="54">
    <w:name w:val="脚注文本 字符"/>
    <w:basedOn w:val="26"/>
    <w:link w:val="17"/>
    <w:uiPriority w:val="0"/>
    <w:rPr>
      <w:rFonts w:eastAsia="仿宋_GB2312"/>
      <w:snapToGrid w:val="0"/>
      <w:sz w:val="18"/>
      <w:szCs w:val="18"/>
    </w:rPr>
  </w:style>
  <w:style w:type="table" w:customStyle="1" w:styleId="55">
    <w:name w:val="Grid Table Light"/>
    <w:basedOn w:val="24"/>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6">
    <w:name w:val="Plain Table 1"/>
    <w:basedOn w:val="24"/>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7FD5-F466-4C7A-A4BE-45FFD386E71A}">
  <ds:schemaRefs/>
</ds:datastoreItem>
</file>

<file path=docProps/app.xml><?xml version="1.0" encoding="utf-8"?>
<Properties xmlns="http://schemas.openxmlformats.org/officeDocument/2006/extended-properties" xmlns:vt="http://schemas.openxmlformats.org/officeDocument/2006/docPropsVTypes">
  <Template>Normal</Template>
  <Pages>31</Pages>
  <Words>2443</Words>
  <Characters>13931</Characters>
  <Lines>116</Lines>
  <Paragraphs>32</Paragraphs>
  <TotalTime>22</TotalTime>
  <ScaleCrop>false</ScaleCrop>
  <LinksUpToDate>false</LinksUpToDate>
  <CharactersWithSpaces>16342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2023-12-25T02:18:00Z</dcterms:created>
  <dcterms:modified xsi:type="dcterms:W3CDTF">2023-12-27T09:27:28Z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BB5FA600A935434B99F2AE0A3D76F7B2_12</vt:lpwstr>
  </property>
</Properties>
</file>